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35C71BC"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503EAB">
        <w:rPr>
          <w:sz w:val="32"/>
          <w:szCs w:val="32"/>
        </w:rPr>
        <w:t>2216405</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30A1C08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3502AE">
        <w:rPr>
          <w:sz w:val="22"/>
          <w:lang w:val="sv-FI"/>
        </w:rPr>
        <w:t>6.17.2.2.2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A0138F7" w:rsidR="00E90E49" w:rsidRPr="00CE0424" w:rsidRDefault="003D3C45" w:rsidP="00311702">
      <w:pPr>
        <w:pStyle w:val="3GPPHeader"/>
        <w:rPr>
          <w:sz w:val="22"/>
        </w:rPr>
      </w:pPr>
      <w:r>
        <w:rPr>
          <w:sz w:val="22"/>
        </w:rPr>
        <w:t>Title:</w:t>
      </w:r>
      <w:r w:rsidR="00E90E49" w:rsidRPr="00CE0424">
        <w:rPr>
          <w:sz w:val="22"/>
        </w:rPr>
        <w:tab/>
      </w:r>
      <w:r w:rsidR="003502AE" w:rsidRPr="003502AE">
        <w:rPr>
          <w:sz w:val="22"/>
        </w:rPr>
        <w:t>SBFD UE RF considerations</w:t>
      </w:r>
    </w:p>
    <w:p w14:paraId="025260C1" w14:textId="4E68ABC5" w:rsidR="00E90E49" w:rsidRPr="00CE0424" w:rsidRDefault="00E90E49" w:rsidP="00D546FF">
      <w:pPr>
        <w:pStyle w:val="3GPPHeader"/>
        <w:rPr>
          <w:sz w:val="22"/>
        </w:rPr>
      </w:pPr>
      <w:r w:rsidRPr="00CE0424">
        <w:rPr>
          <w:sz w:val="22"/>
        </w:rPr>
        <w:t>Document for:</w:t>
      </w:r>
      <w:r w:rsidRPr="00CE0424">
        <w:rPr>
          <w:sz w:val="22"/>
        </w:rPr>
        <w:tab/>
      </w:r>
      <w:r w:rsidR="003502AE">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D7E8DEA" w:rsidR="00477768" w:rsidRDefault="0020698B" w:rsidP="00CE0424">
      <w:pPr>
        <w:pStyle w:val="BodyText"/>
      </w:pPr>
      <w:r>
        <w:t xml:space="preserve">During RAN4#104bis-e, </w:t>
      </w:r>
      <w:r w:rsidR="00506BFF">
        <w:t xml:space="preserve">some initial conclusions were made on the modelling of UE emissions and selectivity for UE-UE CLI modelling. </w:t>
      </w:r>
      <w:proofErr w:type="gramStart"/>
      <w:r w:rsidR="00506BFF">
        <w:t>In particular</w:t>
      </w:r>
      <w:r w:rsidR="00CA3FBD">
        <w:t>, it</w:t>
      </w:r>
      <w:proofErr w:type="gramEnd"/>
      <w:r w:rsidR="00CA3FBD">
        <w:t xml:space="preserve"> was agreed that existing UE requirements should be used as a starting point and extrapolated if needed.</w:t>
      </w:r>
    </w:p>
    <w:p w14:paraId="5B17433E" w14:textId="0F85EDD9" w:rsidR="00CA3FBD" w:rsidRPr="00CE0424" w:rsidRDefault="00CA3FBD" w:rsidP="00CE0424">
      <w:pPr>
        <w:pStyle w:val="BodyText"/>
      </w:pPr>
      <w:r>
        <w:t xml:space="preserve">In this contribution, we further consider and propose assumptions that can be made about </w:t>
      </w:r>
      <w:r w:rsidR="00632453">
        <w:t>UE performance based on the UE requirements specification.</w:t>
      </w:r>
    </w:p>
    <w:p w14:paraId="60123794" w14:textId="20025B6D" w:rsidR="004000E8" w:rsidRDefault="00230D18" w:rsidP="00CE0424">
      <w:pPr>
        <w:pStyle w:val="Heading1"/>
      </w:pPr>
      <w:bookmarkStart w:id="0" w:name="_Ref178064866"/>
      <w:r>
        <w:t>2</w:t>
      </w:r>
      <w:r>
        <w:tab/>
      </w:r>
      <w:r w:rsidR="004000E8" w:rsidRPr="00CE0424">
        <w:t>Discussion</w:t>
      </w:r>
      <w:bookmarkEnd w:id="0"/>
    </w:p>
    <w:p w14:paraId="12795CF0" w14:textId="2DA4D503" w:rsidR="00EB6E0A" w:rsidRPr="00632453" w:rsidRDefault="00632453" w:rsidP="00632453">
      <w:pPr>
        <w:rPr>
          <w:lang w:val="en-GB" w:eastAsia="ja-JP"/>
        </w:rPr>
      </w:pPr>
      <w:r>
        <w:rPr>
          <w:lang w:val="en-GB" w:eastAsia="ja-JP"/>
        </w:rPr>
        <w:t xml:space="preserve">The discussion considers TX and RX, for </w:t>
      </w:r>
      <w:r w:rsidR="00EB6E0A">
        <w:rPr>
          <w:lang w:val="en-GB" w:eastAsia="ja-JP"/>
        </w:rPr>
        <w:t>inter-</w:t>
      </w:r>
      <w:proofErr w:type="spellStart"/>
      <w:r w:rsidR="00EB6E0A">
        <w:rPr>
          <w:lang w:val="en-GB" w:eastAsia="ja-JP"/>
        </w:rPr>
        <w:t>subband</w:t>
      </w:r>
      <w:proofErr w:type="spellEnd"/>
      <w:r w:rsidR="00EB6E0A">
        <w:rPr>
          <w:lang w:val="en-GB" w:eastAsia="ja-JP"/>
        </w:rPr>
        <w:t xml:space="preserve"> and adjacent channel modelling.</w:t>
      </w:r>
    </w:p>
    <w:p w14:paraId="35EB090D" w14:textId="4AABD52A" w:rsidR="00F63950" w:rsidRDefault="00230D18" w:rsidP="00F63950">
      <w:pPr>
        <w:pStyle w:val="Heading2"/>
      </w:pPr>
      <w:r>
        <w:t>2.1</w:t>
      </w:r>
      <w:r>
        <w:tab/>
      </w:r>
      <w:r w:rsidR="00EB6E0A">
        <w:t>Transmitter assumptions</w:t>
      </w:r>
    </w:p>
    <w:p w14:paraId="3D1D765D" w14:textId="572DBEF8" w:rsidR="00EB6E0A" w:rsidRDefault="00EB6E0A" w:rsidP="00EB6E0A">
      <w:pPr>
        <w:pStyle w:val="Heading3"/>
      </w:pPr>
      <w:r>
        <w:t>2.1.1</w:t>
      </w:r>
      <w:r>
        <w:tab/>
      </w:r>
      <w:r w:rsidR="0024387F">
        <w:t>Inter sub-band</w:t>
      </w:r>
    </w:p>
    <w:p w14:paraId="110413AD" w14:textId="151559E9" w:rsidR="0024387F" w:rsidRPr="0024387F" w:rsidRDefault="0024387F" w:rsidP="0024387F">
      <w:pPr>
        <w:rPr>
          <w:lang w:val="en-GB" w:eastAsia="ja-JP"/>
        </w:rPr>
      </w:pPr>
      <w:r>
        <w:rPr>
          <w:lang w:val="en-GB" w:eastAsia="ja-JP"/>
        </w:rPr>
        <w:t xml:space="preserve">For inter-sub-band </w:t>
      </w:r>
      <w:r w:rsidR="00E235F2">
        <w:rPr>
          <w:lang w:val="en-GB" w:eastAsia="ja-JP"/>
        </w:rPr>
        <w:t>emissions, it is proposed that in-band emissions should be considered as a starting point.</w:t>
      </w:r>
    </w:p>
    <w:p w14:paraId="4EB2D5CF" w14:textId="174F5B63" w:rsidR="0024387F" w:rsidRDefault="0024387F" w:rsidP="0024387F">
      <w:pPr>
        <w:pStyle w:val="Heading4"/>
      </w:pPr>
      <w:r>
        <w:t>2.1.1.1      FR1</w:t>
      </w:r>
    </w:p>
    <w:p w14:paraId="5A71B4B1" w14:textId="1028A7B5" w:rsidR="0024387F" w:rsidRDefault="009D3698" w:rsidP="0024387F">
      <w:pPr>
        <w:rPr>
          <w:lang w:val="en-GB" w:eastAsia="ja-JP"/>
        </w:rPr>
      </w:pPr>
      <w:r>
        <w:rPr>
          <w:lang w:val="en-GB" w:eastAsia="ja-JP"/>
        </w:rPr>
        <w:t xml:space="preserve">The in-band emissions requirement </w:t>
      </w:r>
      <w:proofErr w:type="gramStart"/>
      <w:r w:rsidR="003718D5">
        <w:rPr>
          <w:lang w:val="en-GB" w:eastAsia="ja-JP"/>
        </w:rPr>
        <w:t>are</w:t>
      </w:r>
      <w:proofErr w:type="gramEnd"/>
      <w:r w:rsidR="003718D5">
        <w:rPr>
          <w:lang w:val="en-GB" w:eastAsia="ja-JP"/>
        </w:rPr>
        <w:t xml:space="preserve"> stated</w:t>
      </w:r>
      <w:r>
        <w:rPr>
          <w:lang w:val="en-GB" w:eastAsia="ja-JP"/>
        </w:rPr>
        <w:t xml:space="preserve"> as follows</w:t>
      </w:r>
      <w:r w:rsidR="003718D5">
        <w:rPr>
          <w:lang w:val="en-GB" w:eastAsia="ja-JP"/>
        </w:rPr>
        <w:t xml:space="preserve"> in 38.101-1</w:t>
      </w:r>
      <w:r>
        <w:rPr>
          <w:lang w:val="en-GB" w:eastAsia="ja-JP"/>
        </w:rPr>
        <w: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D3698" w:rsidRPr="00A1115A" w14:paraId="6D582476" w14:textId="77777777" w:rsidTr="008D1A02">
        <w:trPr>
          <w:trHeight w:val="187"/>
          <w:jc w:val="center"/>
        </w:trPr>
        <w:tc>
          <w:tcPr>
            <w:tcW w:w="1205" w:type="dxa"/>
            <w:tcBorders>
              <w:bottom w:val="single" w:sz="4" w:space="0" w:color="auto"/>
              <w:right w:val="single" w:sz="4" w:space="0" w:color="auto"/>
            </w:tcBorders>
            <w:shd w:val="clear" w:color="auto" w:fill="auto"/>
          </w:tcPr>
          <w:p w14:paraId="0C828D74" w14:textId="77777777" w:rsidR="009D3698" w:rsidRPr="00A1115A" w:rsidRDefault="009D3698" w:rsidP="008D1A02">
            <w:pPr>
              <w:pStyle w:val="TAH"/>
              <w:rPr>
                <w:i/>
                <w:iCs/>
              </w:rPr>
            </w:pPr>
            <w:r w:rsidRPr="00A1115A">
              <w:lastRenderedPageBreak/>
              <w:t>Parameter description</w:t>
            </w:r>
          </w:p>
        </w:tc>
        <w:tc>
          <w:tcPr>
            <w:tcW w:w="1293" w:type="dxa"/>
            <w:tcBorders>
              <w:left w:val="single" w:sz="4" w:space="0" w:color="auto"/>
              <w:bottom w:val="single" w:sz="4" w:space="0" w:color="auto"/>
              <w:right w:val="single" w:sz="4" w:space="0" w:color="auto"/>
            </w:tcBorders>
            <w:shd w:val="clear" w:color="auto" w:fill="auto"/>
          </w:tcPr>
          <w:p w14:paraId="077948A0" w14:textId="77777777" w:rsidR="009D3698" w:rsidRPr="00A1115A" w:rsidRDefault="009D3698" w:rsidP="008D1A02">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2E3DF6A" w14:textId="77777777" w:rsidR="009D3698" w:rsidRPr="00A1115A" w:rsidRDefault="009D3698" w:rsidP="008D1A02">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0AFED5AE" w14:textId="77777777" w:rsidR="009D3698" w:rsidRPr="00A1115A" w:rsidRDefault="009D3698" w:rsidP="008D1A02">
            <w:pPr>
              <w:pStyle w:val="TAH"/>
            </w:pPr>
            <w:r w:rsidRPr="00A1115A">
              <w:t>Applicable Frequencies</w:t>
            </w:r>
          </w:p>
        </w:tc>
      </w:tr>
      <w:tr w:rsidR="009D3698" w:rsidRPr="00A1115A" w14:paraId="58DD062B" w14:textId="77777777" w:rsidTr="008D1A02">
        <w:trPr>
          <w:trHeight w:val="187"/>
          <w:jc w:val="center"/>
        </w:trPr>
        <w:tc>
          <w:tcPr>
            <w:tcW w:w="1205" w:type="dxa"/>
            <w:tcBorders>
              <w:top w:val="single" w:sz="4" w:space="0" w:color="auto"/>
              <w:bottom w:val="single" w:sz="4" w:space="0" w:color="auto"/>
              <w:right w:val="single" w:sz="4" w:space="0" w:color="auto"/>
            </w:tcBorders>
            <w:shd w:val="clear" w:color="auto" w:fill="auto"/>
          </w:tcPr>
          <w:p w14:paraId="697BC22B" w14:textId="77777777" w:rsidR="009D3698" w:rsidRPr="00A1115A" w:rsidRDefault="009D3698" w:rsidP="008D1A02">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4BD4DCD6" w14:textId="77777777" w:rsidR="009D3698" w:rsidRPr="00A1115A" w:rsidRDefault="009D3698" w:rsidP="008D1A02">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028E931" w14:textId="77777777" w:rsidR="009D3698" w:rsidRPr="00A1115A" w:rsidRDefault="009D3698" w:rsidP="008D1A02">
            <w:pPr>
              <w:pStyle w:val="TAC"/>
              <w:rPr>
                <w:rFonts w:cs="Arial"/>
              </w:rPr>
            </w:pPr>
            <w:r w:rsidRPr="00A1115A">
              <w:rPr>
                <w:rFonts w:cs="Arial"/>
                <w:position w:val="-54"/>
              </w:rPr>
              <w:object w:dxaOrig="3900" w:dyaOrig="1160" w14:anchorId="398B8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9pt;height:44.25pt" o:ole="">
                  <v:imagedata r:id="rId11" o:title=""/>
                </v:shape>
                <o:OLEObject Type="Embed" ProgID="Equation.3" ShapeID="_x0000_i1025" DrawAspect="Content" ObjectID="_1726063018" r:id="rId12"/>
              </w:object>
            </w:r>
          </w:p>
        </w:tc>
        <w:tc>
          <w:tcPr>
            <w:tcW w:w="1682" w:type="dxa"/>
            <w:tcBorders>
              <w:top w:val="single" w:sz="4" w:space="0" w:color="auto"/>
              <w:left w:val="single" w:sz="4" w:space="0" w:color="auto"/>
              <w:bottom w:val="single" w:sz="4" w:space="0" w:color="auto"/>
              <w:right w:val="single" w:sz="4" w:space="0" w:color="auto"/>
            </w:tcBorders>
          </w:tcPr>
          <w:p w14:paraId="7C86C268" w14:textId="77777777" w:rsidR="009D3698" w:rsidRPr="00A1115A" w:rsidRDefault="009D3698" w:rsidP="008D1A02">
            <w:pPr>
              <w:pStyle w:val="TAC"/>
              <w:rPr>
                <w:rFonts w:cs="Arial"/>
              </w:rPr>
            </w:pPr>
            <w:r w:rsidRPr="00A1115A">
              <w:rPr>
                <w:rFonts w:cs="Arial"/>
              </w:rPr>
              <w:t>Any non-allocated (NOTE 2)</w:t>
            </w:r>
          </w:p>
        </w:tc>
      </w:tr>
      <w:tr w:rsidR="009D3698" w:rsidRPr="00A1115A" w14:paraId="18B403A0" w14:textId="77777777" w:rsidTr="008D1A02">
        <w:trPr>
          <w:trHeight w:val="187"/>
          <w:jc w:val="center"/>
        </w:trPr>
        <w:tc>
          <w:tcPr>
            <w:tcW w:w="1205" w:type="dxa"/>
            <w:tcBorders>
              <w:top w:val="single" w:sz="4" w:space="0" w:color="auto"/>
              <w:bottom w:val="nil"/>
              <w:right w:val="single" w:sz="4" w:space="0" w:color="auto"/>
            </w:tcBorders>
            <w:shd w:val="clear" w:color="auto" w:fill="auto"/>
          </w:tcPr>
          <w:p w14:paraId="32427929" w14:textId="77777777" w:rsidR="009D3698" w:rsidRPr="00A1115A" w:rsidRDefault="009D3698" w:rsidP="008D1A02">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3B2EF60F" w14:textId="77777777" w:rsidR="009D3698" w:rsidRPr="00A1115A" w:rsidRDefault="009D3698" w:rsidP="008D1A02">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13A260F6" w14:textId="77777777" w:rsidR="009D3698" w:rsidRPr="00A1115A" w:rsidRDefault="009D3698" w:rsidP="008D1A02">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576E8A18" w14:textId="77777777" w:rsidR="009D3698" w:rsidRPr="00A1115A" w:rsidRDefault="009D3698" w:rsidP="008D1A02">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6B4948F" w14:textId="77777777" w:rsidR="009D3698" w:rsidRPr="00A1115A" w:rsidRDefault="009D3698" w:rsidP="008D1A02">
            <w:pPr>
              <w:pStyle w:val="TAC"/>
              <w:rPr>
                <w:rFonts w:cs="Arial"/>
              </w:rPr>
            </w:pPr>
            <w:r w:rsidRPr="00A1115A">
              <w:rPr>
                <w:rFonts w:cs="Arial"/>
              </w:rPr>
              <w:t>Image frequencies (NOTES 2, 3)</w:t>
            </w:r>
          </w:p>
        </w:tc>
      </w:tr>
      <w:tr w:rsidR="009D3698" w:rsidRPr="00A1115A" w14:paraId="7D5EE806" w14:textId="77777777" w:rsidTr="008D1A02">
        <w:trPr>
          <w:trHeight w:val="187"/>
          <w:jc w:val="center"/>
        </w:trPr>
        <w:tc>
          <w:tcPr>
            <w:tcW w:w="1205" w:type="dxa"/>
            <w:tcBorders>
              <w:top w:val="nil"/>
              <w:bottom w:val="single" w:sz="4" w:space="0" w:color="auto"/>
              <w:right w:val="single" w:sz="4" w:space="0" w:color="auto"/>
            </w:tcBorders>
            <w:shd w:val="clear" w:color="auto" w:fill="auto"/>
          </w:tcPr>
          <w:p w14:paraId="4CFBC427" w14:textId="77777777" w:rsidR="009D3698" w:rsidRPr="00A1115A" w:rsidRDefault="009D3698" w:rsidP="008D1A02">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1A0DA64" w14:textId="77777777" w:rsidR="009D3698" w:rsidRPr="00A1115A" w:rsidRDefault="009D3698" w:rsidP="008D1A02">
            <w:pPr>
              <w:pStyle w:val="TAC"/>
              <w:rPr>
                <w:rFonts w:cs="Arial"/>
              </w:rPr>
            </w:pPr>
          </w:p>
        </w:tc>
        <w:tc>
          <w:tcPr>
            <w:tcW w:w="1265" w:type="dxa"/>
            <w:tcBorders>
              <w:top w:val="single" w:sz="4" w:space="0" w:color="auto"/>
              <w:left w:val="single" w:sz="4" w:space="0" w:color="auto"/>
              <w:right w:val="single" w:sz="4" w:space="0" w:color="auto"/>
            </w:tcBorders>
          </w:tcPr>
          <w:p w14:paraId="42E72072" w14:textId="77777777" w:rsidR="009D3698" w:rsidRPr="00A1115A" w:rsidRDefault="009D3698" w:rsidP="008D1A02">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37D48178" w14:textId="77777777" w:rsidR="009D3698" w:rsidRPr="00A1115A" w:rsidRDefault="009D3698" w:rsidP="008D1A02">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E779A14" w14:textId="77777777" w:rsidR="009D3698" w:rsidRPr="00A1115A" w:rsidRDefault="009D3698" w:rsidP="008D1A02">
            <w:pPr>
              <w:pStyle w:val="TAC"/>
              <w:rPr>
                <w:rFonts w:cs="Arial"/>
              </w:rPr>
            </w:pPr>
          </w:p>
        </w:tc>
      </w:tr>
      <w:tr w:rsidR="009D3698" w:rsidRPr="00A1115A" w14:paraId="5C72A3C7" w14:textId="77777777" w:rsidTr="008D1A02">
        <w:trPr>
          <w:trHeight w:val="187"/>
          <w:jc w:val="center"/>
        </w:trPr>
        <w:tc>
          <w:tcPr>
            <w:tcW w:w="1205" w:type="dxa"/>
            <w:tcBorders>
              <w:top w:val="single" w:sz="4" w:space="0" w:color="auto"/>
              <w:bottom w:val="nil"/>
              <w:right w:val="single" w:sz="4" w:space="0" w:color="auto"/>
            </w:tcBorders>
            <w:shd w:val="clear" w:color="auto" w:fill="auto"/>
          </w:tcPr>
          <w:p w14:paraId="3CF82AA3" w14:textId="77777777" w:rsidR="009D3698" w:rsidRPr="00A1115A" w:rsidRDefault="009D3698" w:rsidP="008D1A02">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17887DD1" w14:textId="77777777" w:rsidR="009D3698" w:rsidRPr="00A1115A" w:rsidRDefault="009D3698" w:rsidP="008D1A02">
            <w:pPr>
              <w:pStyle w:val="TAC"/>
              <w:rPr>
                <w:rFonts w:cs="Arial"/>
              </w:rPr>
            </w:pPr>
            <w:proofErr w:type="spellStart"/>
            <w:r w:rsidRPr="00A1115A">
              <w:rPr>
                <w:rFonts w:cs="Arial"/>
              </w:rPr>
              <w:t>dBc</w:t>
            </w:r>
            <w:proofErr w:type="spellEnd"/>
          </w:p>
        </w:tc>
        <w:tc>
          <w:tcPr>
            <w:tcW w:w="1265" w:type="dxa"/>
            <w:tcBorders>
              <w:top w:val="single" w:sz="4" w:space="0" w:color="auto"/>
              <w:left w:val="single" w:sz="4" w:space="0" w:color="auto"/>
              <w:right w:val="single" w:sz="4" w:space="0" w:color="auto"/>
            </w:tcBorders>
          </w:tcPr>
          <w:p w14:paraId="6A4F8328" w14:textId="77777777" w:rsidR="009D3698" w:rsidRPr="00A1115A" w:rsidRDefault="009D3698" w:rsidP="008D1A02">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7677345" w14:textId="77777777" w:rsidR="009D3698" w:rsidRPr="00A1115A" w:rsidRDefault="009D3698" w:rsidP="008D1A02">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6BDDA76" w14:textId="77777777" w:rsidR="009D3698" w:rsidRPr="00A1115A" w:rsidRDefault="009D3698" w:rsidP="008D1A02">
            <w:pPr>
              <w:pStyle w:val="TAC"/>
              <w:rPr>
                <w:rFonts w:cs="Arial"/>
              </w:rPr>
            </w:pPr>
            <w:r w:rsidRPr="00A1115A">
              <w:rPr>
                <w:rFonts w:cs="Arial"/>
              </w:rPr>
              <w:t>Carrier leakage frequency (NOTES 4, 5)</w:t>
            </w:r>
          </w:p>
        </w:tc>
      </w:tr>
      <w:tr w:rsidR="009D3698" w:rsidRPr="00A1115A" w14:paraId="07F5A4A9" w14:textId="77777777" w:rsidTr="008D1A02">
        <w:trPr>
          <w:trHeight w:val="187"/>
          <w:jc w:val="center"/>
        </w:trPr>
        <w:tc>
          <w:tcPr>
            <w:tcW w:w="1205" w:type="dxa"/>
            <w:tcBorders>
              <w:top w:val="nil"/>
              <w:bottom w:val="nil"/>
              <w:right w:val="single" w:sz="4" w:space="0" w:color="auto"/>
            </w:tcBorders>
            <w:shd w:val="clear" w:color="auto" w:fill="auto"/>
          </w:tcPr>
          <w:p w14:paraId="3501EB00" w14:textId="77777777" w:rsidR="009D3698" w:rsidRPr="00A1115A" w:rsidRDefault="009D3698" w:rsidP="008D1A02">
            <w:pPr>
              <w:pStyle w:val="TAC"/>
            </w:pPr>
          </w:p>
        </w:tc>
        <w:tc>
          <w:tcPr>
            <w:tcW w:w="1293" w:type="dxa"/>
            <w:tcBorders>
              <w:top w:val="nil"/>
              <w:left w:val="single" w:sz="4" w:space="0" w:color="auto"/>
              <w:bottom w:val="nil"/>
              <w:right w:val="single" w:sz="4" w:space="0" w:color="auto"/>
            </w:tcBorders>
            <w:shd w:val="clear" w:color="auto" w:fill="auto"/>
          </w:tcPr>
          <w:p w14:paraId="25A13372" w14:textId="77777777" w:rsidR="009D3698" w:rsidRPr="00A1115A" w:rsidRDefault="009D3698" w:rsidP="008D1A02">
            <w:pPr>
              <w:pStyle w:val="TAC"/>
              <w:rPr>
                <w:rFonts w:cs="Arial"/>
              </w:rPr>
            </w:pPr>
          </w:p>
        </w:tc>
        <w:tc>
          <w:tcPr>
            <w:tcW w:w="1265" w:type="dxa"/>
            <w:tcBorders>
              <w:top w:val="single" w:sz="4" w:space="0" w:color="auto"/>
              <w:left w:val="single" w:sz="4" w:space="0" w:color="auto"/>
              <w:right w:val="single" w:sz="4" w:space="0" w:color="auto"/>
            </w:tcBorders>
          </w:tcPr>
          <w:p w14:paraId="343F6B17" w14:textId="77777777" w:rsidR="009D3698" w:rsidRPr="00A1115A" w:rsidRDefault="009D3698" w:rsidP="008D1A02">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FFC208D" w14:textId="77777777" w:rsidR="009D3698" w:rsidRPr="00A1115A" w:rsidRDefault="009D3698" w:rsidP="008D1A02">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0679C134" w14:textId="77777777" w:rsidR="009D3698" w:rsidRPr="00A1115A" w:rsidRDefault="009D3698" w:rsidP="008D1A02">
            <w:pPr>
              <w:pStyle w:val="TAC"/>
            </w:pPr>
          </w:p>
        </w:tc>
      </w:tr>
      <w:tr w:rsidR="009D3698" w:rsidRPr="00A1115A" w14:paraId="423AF7C8" w14:textId="77777777" w:rsidTr="008D1A02">
        <w:trPr>
          <w:trHeight w:val="187"/>
          <w:jc w:val="center"/>
        </w:trPr>
        <w:tc>
          <w:tcPr>
            <w:tcW w:w="1205" w:type="dxa"/>
            <w:tcBorders>
              <w:top w:val="nil"/>
              <w:bottom w:val="nil"/>
              <w:right w:val="single" w:sz="4" w:space="0" w:color="auto"/>
            </w:tcBorders>
            <w:shd w:val="clear" w:color="auto" w:fill="auto"/>
          </w:tcPr>
          <w:p w14:paraId="75BAA6C8" w14:textId="77777777" w:rsidR="009D3698" w:rsidRPr="00A1115A" w:rsidRDefault="009D3698" w:rsidP="008D1A02">
            <w:pPr>
              <w:pStyle w:val="TAC"/>
              <w:rPr>
                <w:b/>
              </w:rPr>
            </w:pPr>
          </w:p>
        </w:tc>
        <w:tc>
          <w:tcPr>
            <w:tcW w:w="1293" w:type="dxa"/>
            <w:tcBorders>
              <w:top w:val="nil"/>
              <w:left w:val="single" w:sz="4" w:space="0" w:color="auto"/>
              <w:bottom w:val="nil"/>
              <w:right w:val="single" w:sz="4" w:space="0" w:color="auto"/>
            </w:tcBorders>
            <w:shd w:val="clear" w:color="auto" w:fill="auto"/>
          </w:tcPr>
          <w:p w14:paraId="149D3A20" w14:textId="77777777" w:rsidR="009D3698" w:rsidRPr="00A1115A" w:rsidRDefault="009D3698" w:rsidP="008D1A02">
            <w:pPr>
              <w:pStyle w:val="TAC"/>
              <w:rPr>
                <w:rFonts w:cs="Arial"/>
              </w:rPr>
            </w:pPr>
          </w:p>
        </w:tc>
        <w:tc>
          <w:tcPr>
            <w:tcW w:w="1265" w:type="dxa"/>
            <w:tcBorders>
              <w:top w:val="single" w:sz="4" w:space="0" w:color="auto"/>
              <w:left w:val="single" w:sz="4" w:space="0" w:color="auto"/>
              <w:right w:val="single" w:sz="4" w:space="0" w:color="auto"/>
            </w:tcBorders>
          </w:tcPr>
          <w:p w14:paraId="6ECB8DA7" w14:textId="77777777" w:rsidR="009D3698" w:rsidRPr="00A1115A" w:rsidRDefault="009D3698" w:rsidP="008D1A02">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12062A12" w14:textId="77777777" w:rsidR="009D3698" w:rsidRPr="00A1115A" w:rsidRDefault="009D3698" w:rsidP="008D1A02">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188A552" w14:textId="77777777" w:rsidR="009D3698" w:rsidRPr="00A1115A" w:rsidRDefault="009D3698" w:rsidP="008D1A02">
            <w:pPr>
              <w:pStyle w:val="TAC"/>
            </w:pPr>
          </w:p>
        </w:tc>
      </w:tr>
      <w:tr w:rsidR="009D3698" w:rsidRPr="00A1115A" w14:paraId="0DCAE095" w14:textId="77777777" w:rsidTr="008D1A02">
        <w:trPr>
          <w:trHeight w:val="187"/>
          <w:jc w:val="center"/>
        </w:trPr>
        <w:tc>
          <w:tcPr>
            <w:tcW w:w="1205" w:type="dxa"/>
            <w:tcBorders>
              <w:top w:val="nil"/>
              <w:right w:val="single" w:sz="4" w:space="0" w:color="auto"/>
            </w:tcBorders>
            <w:shd w:val="clear" w:color="auto" w:fill="auto"/>
          </w:tcPr>
          <w:p w14:paraId="6B4087F3" w14:textId="77777777" w:rsidR="009D3698" w:rsidRPr="00A1115A" w:rsidRDefault="009D3698" w:rsidP="008D1A02">
            <w:pPr>
              <w:pStyle w:val="TAC"/>
              <w:rPr>
                <w:b/>
              </w:rPr>
            </w:pPr>
          </w:p>
        </w:tc>
        <w:tc>
          <w:tcPr>
            <w:tcW w:w="1293" w:type="dxa"/>
            <w:tcBorders>
              <w:top w:val="nil"/>
              <w:left w:val="single" w:sz="4" w:space="0" w:color="auto"/>
              <w:right w:val="single" w:sz="4" w:space="0" w:color="auto"/>
            </w:tcBorders>
            <w:shd w:val="clear" w:color="auto" w:fill="auto"/>
          </w:tcPr>
          <w:p w14:paraId="25AC5C61" w14:textId="77777777" w:rsidR="009D3698" w:rsidRPr="00A1115A" w:rsidRDefault="009D3698" w:rsidP="008D1A02">
            <w:pPr>
              <w:pStyle w:val="TAC"/>
              <w:rPr>
                <w:rFonts w:cs="Arial"/>
              </w:rPr>
            </w:pPr>
          </w:p>
        </w:tc>
        <w:tc>
          <w:tcPr>
            <w:tcW w:w="1265" w:type="dxa"/>
            <w:tcBorders>
              <w:top w:val="single" w:sz="4" w:space="0" w:color="auto"/>
              <w:left w:val="single" w:sz="4" w:space="0" w:color="auto"/>
              <w:right w:val="single" w:sz="4" w:space="0" w:color="auto"/>
            </w:tcBorders>
          </w:tcPr>
          <w:p w14:paraId="6060CCAE" w14:textId="77777777" w:rsidR="009D3698" w:rsidRPr="00A1115A" w:rsidRDefault="009D3698" w:rsidP="008D1A02">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7C990813" w14:textId="77777777" w:rsidR="009D3698" w:rsidRPr="00A1115A" w:rsidRDefault="009D3698" w:rsidP="008D1A02">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15D7AB14" w14:textId="77777777" w:rsidR="009D3698" w:rsidRPr="00A1115A" w:rsidRDefault="009D3698" w:rsidP="008D1A02">
            <w:pPr>
              <w:pStyle w:val="TAC"/>
            </w:pPr>
          </w:p>
        </w:tc>
      </w:tr>
      <w:tr w:rsidR="009D3698" w:rsidRPr="00A1115A" w14:paraId="0BCF12DA" w14:textId="77777777" w:rsidTr="008D1A02">
        <w:trPr>
          <w:trHeight w:val="424"/>
          <w:jc w:val="center"/>
        </w:trPr>
        <w:tc>
          <w:tcPr>
            <w:tcW w:w="9600" w:type="dxa"/>
            <w:gridSpan w:val="5"/>
            <w:tcBorders>
              <w:right w:val="single" w:sz="4" w:space="0" w:color="auto"/>
            </w:tcBorders>
            <w:shd w:val="clear" w:color="auto" w:fill="auto"/>
            <w:vAlign w:val="center"/>
          </w:tcPr>
          <w:p w14:paraId="3B165E17" w14:textId="77777777" w:rsidR="009D3698" w:rsidRPr="00A1115A" w:rsidRDefault="009D3698" w:rsidP="008D1A02">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64246767" w14:textId="77777777" w:rsidR="009D3698" w:rsidRPr="00A1115A" w:rsidRDefault="009D3698" w:rsidP="008D1A02">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639FCC75" w14:textId="77777777" w:rsidR="009D3698" w:rsidRPr="00A1115A" w:rsidRDefault="009D3698" w:rsidP="008D1A02">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04738FE1" w14:textId="77777777" w:rsidR="009D3698" w:rsidRPr="00A1115A" w:rsidRDefault="009D3698" w:rsidP="008D1A02">
            <w:pPr>
              <w:pStyle w:val="TAN"/>
            </w:pPr>
            <w:r w:rsidRPr="00A1115A">
              <w:t>NOTE 4:</w:t>
            </w:r>
            <w:r w:rsidRPr="00A1115A">
              <w:tab/>
              <w:t>The measurement bandwidth is 1 RB and the limit is expressed as a ratio of measured power in one non-allocated RB to the measured total power in all allocated RBs.</w:t>
            </w:r>
          </w:p>
          <w:p w14:paraId="60636960" w14:textId="77777777" w:rsidR="009D3698" w:rsidRPr="00A1115A" w:rsidRDefault="009D3698" w:rsidP="008D1A02">
            <w:pPr>
              <w:pStyle w:val="TAN"/>
            </w:pPr>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frequency  but excluding any allocated RB.</w:t>
            </w:r>
          </w:p>
          <w:p w14:paraId="60CE8262" w14:textId="77777777" w:rsidR="009D3698" w:rsidRPr="00A1115A" w:rsidRDefault="009D3698" w:rsidP="008D1A02">
            <w:pPr>
              <w:pStyle w:val="TAN"/>
            </w:pPr>
            <w:r w:rsidRPr="00A1115A">
              <w:t>NOTE 6:</w:t>
            </w:r>
            <w:r w:rsidRPr="00A1115A">
              <w:tab/>
            </w:r>
            <w:r w:rsidRPr="00A1115A">
              <w:rPr>
                <w:i/>
              </w:rPr>
              <w:t>L</w:t>
            </w:r>
            <w:r w:rsidRPr="00A1115A">
              <w:rPr>
                <w:i/>
                <w:vertAlign w:val="subscript"/>
              </w:rPr>
              <w:t xml:space="preserve">CRB </w:t>
            </w:r>
            <w:r w:rsidRPr="00A1115A">
              <w:t>is the Transmission Bandwidth (see clause  5.3).</w:t>
            </w:r>
          </w:p>
          <w:p w14:paraId="6D6CC2C4" w14:textId="77777777" w:rsidR="009D3698" w:rsidRPr="00A1115A" w:rsidRDefault="009D3698" w:rsidP="008D1A02">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14:paraId="0078B8E4" w14:textId="77777777" w:rsidR="009D3698" w:rsidRPr="00A1115A" w:rsidRDefault="009D3698" w:rsidP="008D1A02">
            <w:pPr>
              <w:pStyle w:val="TAN"/>
            </w:pPr>
            <w:r w:rsidRPr="00A1115A">
              <w:t>NOTE 8:</w:t>
            </w:r>
            <w:r w:rsidRPr="00A1115A">
              <w:tab/>
            </w:r>
            <w:r w:rsidRPr="00A1115A">
              <w:rPr>
                <w:i/>
              </w:rPr>
              <w:t>EVM</w:t>
            </w:r>
            <w:r w:rsidRPr="00A1115A">
              <w:t xml:space="preserve"> is the limit specified in Table 6.4.2.1-1 for the modulation format used in the allocated RBs.</w:t>
            </w:r>
          </w:p>
          <w:p w14:paraId="3259B4A8" w14:textId="77777777" w:rsidR="009D3698" w:rsidRPr="00A1115A" w:rsidRDefault="009D3698" w:rsidP="008D1A02">
            <w:pPr>
              <w:pStyle w:val="TAN"/>
            </w:pPr>
            <w:r w:rsidRPr="00A1115A">
              <w:t>NOTE 9:</w:t>
            </w:r>
            <w:r w:rsidRPr="00A1115A">
              <w:tab/>
            </w:r>
            <w:r w:rsidRPr="00A1115A">
              <w:rPr>
                <w:position w:val="-10"/>
              </w:rPr>
              <w:object w:dxaOrig="400" w:dyaOrig="300" w14:anchorId="39DE3B1F">
                <v:shape id="_x0000_i1026" type="#_x0000_t75" style="width:21.65pt;height:14.25pt" o:ole="">
                  <v:imagedata r:id="rId13" o:title=""/>
                </v:shape>
                <o:OLEObject Type="Embed" ProgID="Equation.3" ShapeID="_x0000_i1026" DrawAspect="Content" ObjectID="_1726063019" r:id="rId14"/>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367462DB" w14:textId="77777777" w:rsidR="009D3698" w:rsidRPr="00A1115A" w:rsidRDefault="009D3698" w:rsidP="008D1A02">
            <w:pPr>
              <w:pStyle w:val="TAN"/>
            </w:pPr>
            <w:r w:rsidRPr="00A1115A">
              <w:t>NOTE 10:</w:t>
            </w:r>
            <w:r w:rsidRPr="00A1115A">
              <w:tab/>
            </w:r>
            <w:r w:rsidRPr="00A1115A">
              <w:rPr>
                <w:position w:val="-10"/>
              </w:rPr>
              <w:object w:dxaOrig="400" w:dyaOrig="380" w14:anchorId="1D8EDB5F">
                <v:shape id="_x0000_i1027" type="#_x0000_t75" style="width:21.65pt;height:20.15pt" o:ole="">
                  <v:imagedata r:id="rId15" o:title=""/>
                </v:shape>
                <o:OLEObject Type="Embed" ProgID="Equation.3" ShapeID="_x0000_i1027" DrawAspect="Content" ObjectID="_1726063020" r:id="rId16"/>
              </w:object>
            </w:r>
            <w:r w:rsidRPr="00A1115A">
              <w:t xml:space="preserve"> is an average of the transmitted power over 10 sub-frames normalized by the number of allocated RBs, measured in dBm. </w:t>
            </w:r>
          </w:p>
          <w:p w14:paraId="2A013806" w14:textId="77777777" w:rsidR="009D3698" w:rsidRPr="00A1115A" w:rsidRDefault="009D3698" w:rsidP="008D1A02">
            <w:pPr>
              <w:pStyle w:val="TAN"/>
            </w:pPr>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p>
        </w:tc>
      </w:tr>
    </w:tbl>
    <w:p w14:paraId="2BD780DD" w14:textId="61C65475" w:rsidR="009D3698" w:rsidRDefault="009D3698" w:rsidP="0024387F">
      <w:pPr>
        <w:rPr>
          <w:lang w:val="en-GB" w:eastAsia="ja-JP"/>
        </w:rPr>
      </w:pPr>
    </w:p>
    <w:p w14:paraId="10A3097D" w14:textId="5C144771" w:rsidR="000F31EC" w:rsidRDefault="000F31EC" w:rsidP="0024387F">
      <w:pPr>
        <w:rPr>
          <w:lang w:val="en-GB" w:eastAsia="ja-JP"/>
        </w:rPr>
      </w:pPr>
      <w:r>
        <w:rPr>
          <w:lang w:val="en-GB" w:eastAsia="ja-JP"/>
        </w:rPr>
        <w:t xml:space="preserve">Assuming a carrier bandwidth of 100MHz, with 20MHz allocated for UL transmission then </w:t>
      </w:r>
      <w:proofErr w:type="gramStart"/>
      <w:r w:rsidRPr="00A1115A">
        <w:rPr>
          <w:i/>
        </w:rPr>
        <w:t>L</w:t>
      </w:r>
      <w:r w:rsidRPr="00A1115A">
        <w:rPr>
          <w:i/>
          <w:vertAlign w:val="subscript"/>
        </w:rPr>
        <w:t xml:space="preserve">CRB </w:t>
      </w:r>
      <w:r>
        <w:rPr>
          <w:i/>
          <w:vertAlign w:val="subscript"/>
        </w:rPr>
        <w:t xml:space="preserve"> </w:t>
      </w:r>
      <w:r>
        <w:rPr>
          <w:lang w:val="en-GB" w:eastAsia="ja-JP"/>
        </w:rPr>
        <w:t>is</w:t>
      </w:r>
      <w:proofErr w:type="gramEnd"/>
      <w:r>
        <w:rPr>
          <w:lang w:val="en-GB" w:eastAsia="ja-JP"/>
        </w:rPr>
        <w:t xml:space="preserve"> </w:t>
      </w:r>
      <w:r w:rsidR="007B2F54">
        <w:rPr>
          <w:lang w:val="en-GB" w:eastAsia="ja-JP"/>
        </w:rPr>
        <w:t>51</w:t>
      </w:r>
      <w:r w:rsidR="002735D5">
        <w:rPr>
          <w:lang w:val="en-GB" w:eastAsia="ja-JP"/>
        </w:rPr>
        <w:t xml:space="preserve"> and </w:t>
      </w:r>
      <w:r w:rsidR="002735D5" w:rsidRPr="00A1115A">
        <w:rPr>
          <w:i/>
        </w:rPr>
        <w:t>N</w:t>
      </w:r>
      <w:r w:rsidR="002735D5" w:rsidRPr="00A1115A">
        <w:rPr>
          <w:i/>
          <w:vertAlign w:val="subscript"/>
        </w:rPr>
        <w:t>RB</w:t>
      </w:r>
      <w:r w:rsidR="002735D5">
        <w:rPr>
          <w:lang w:val="en-GB" w:eastAsia="ja-JP"/>
        </w:rPr>
        <w:t xml:space="preserve"> is 273</w:t>
      </w:r>
      <w:r w:rsidR="00CB3489">
        <w:rPr>
          <w:lang w:val="en-GB" w:eastAsia="ja-JP"/>
        </w:rPr>
        <w:t>.</w:t>
      </w:r>
      <w:r w:rsidR="00AB6864">
        <w:rPr>
          <w:lang w:val="en-GB" w:eastAsia="ja-JP"/>
        </w:rPr>
        <w:t xml:space="preserve"> The size of the DL sub-bands is 1</w:t>
      </w:r>
      <w:r w:rsidR="006A7F07">
        <w:rPr>
          <w:lang w:val="en-GB" w:eastAsia="ja-JP"/>
        </w:rPr>
        <w:t>06</w:t>
      </w:r>
      <w:r w:rsidR="00AB6864">
        <w:rPr>
          <w:lang w:val="en-GB" w:eastAsia="ja-JP"/>
        </w:rPr>
        <w:t xml:space="preserve"> RBs each.</w:t>
      </w:r>
      <w:r w:rsidR="000B24FE">
        <w:rPr>
          <w:lang w:val="en-GB" w:eastAsia="ja-JP"/>
        </w:rPr>
        <w:t xml:space="preserve"> There is also a guard of 6RBs between the DL and UL sub-bands.</w:t>
      </w:r>
    </w:p>
    <w:p w14:paraId="1D45AAC5" w14:textId="3AC12610" w:rsidR="00AB6864" w:rsidRDefault="00AB6864" w:rsidP="0024387F">
      <w:pPr>
        <w:rPr>
          <w:lang w:val="en-GB" w:eastAsia="ja-JP"/>
        </w:rPr>
      </w:pPr>
      <w:r>
        <w:rPr>
          <w:lang w:val="en-GB" w:eastAsia="ja-JP"/>
        </w:rPr>
        <w:t>Taking the general emissions requirement, if the ratio of the total power in the UL sub-band to the total power in the DL sub-bands is calculated</w:t>
      </w:r>
      <w:r w:rsidR="00073D02">
        <w:rPr>
          <w:lang w:val="en-GB" w:eastAsia="ja-JP"/>
        </w:rPr>
        <w:t xml:space="preserve"> </w:t>
      </w:r>
      <w:proofErr w:type="gramStart"/>
      <w:r w:rsidR="00073D02">
        <w:rPr>
          <w:lang w:val="en-GB" w:eastAsia="ja-JP"/>
        </w:rPr>
        <w:t>taking into account</w:t>
      </w:r>
      <w:proofErr w:type="gramEnd"/>
      <w:r w:rsidR="00073D02">
        <w:rPr>
          <w:lang w:val="en-GB" w:eastAsia="ja-JP"/>
        </w:rPr>
        <w:t xml:space="preserve"> the guard RBs</w:t>
      </w:r>
      <w:r>
        <w:rPr>
          <w:lang w:val="en-GB" w:eastAsia="ja-JP"/>
        </w:rPr>
        <w:t>, then for QPSK modulation the radio is 1</w:t>
      </w:r>
      <w:r w:rsidR="009B654B">
        <w:rPr>
          <w:lang w:val="en-GB" w:eastAsia="ja-JP"/>
        </w:rPr>
        <w:t>7</w:t>
      </w:r>
      <w:r>
        <w:rPr>
          <w:lang w:val="en-GB" w:eastAsia="ja-JP"/>
        </w:rPr>
        <w:t xml:space="preserve">dB. For 256QAM modulation, the </w:t>
      </w:r>
      <w:r w:rsidR="00A76535">
        <w:rPr>
          <w:lang w:val="en-GB" w:eastAsia="ja-JP"/>
        </w:rPr>
        <w:t>ratio becomes 3</w:t>
      </w:r>
      <w:r w:rsidR="009B654B">
        <w:rPr>
          <w:lang w:val="en-GB" w:eastAsia="ja-JP"/>
        </w:rPr>
        <w:t>1</w:t>
      </w:r>
      <w:r w:rsidR="00A76535">
        <w:rPr>
          <w:lang w:val="en-GB" w:eastAsia="ja-JP"/>
        </w:rPr>
        <w:t>dB.</w:t>
      </w:r>
    </w:p>
    <w:p w14:paraId="79444CE3" w14:textId="4010CA09" w:rsidR="00A76535" w:rsidRDefault="00A76535" w:rsidP="0024387F">
      <w:pPr>
        <w:rPr>
          <w:lang w:val="en-GB" w:eastAsia="ja-JP"/>
        </w:rPr>
      </w:pPr>
      <w:r>
        <w:rPr>
          <w:lang w:val="en-GB" w:eastAsia="ja-JP"/>
        </w:rPr>
        <w:t xml:space="preserve">It is necessary to </w:t>
      </w:r>
      <w:proofErr w:type="gramStart"/>
      <w:r>
        <w:rPr>
          <w:lang w:val="en-GB" w:eastAsia="ja-JP"/>
        </w:rPr>
        <w:t>make an assumption</w:t>
      </w:r>
      <w:proofErr w:type="gramEnd"/>
      <w:r>
        <w:rPr>
          <w:lang w:val="en-GB" w:eastAsia="ja-JP"/>
        </w:rPr>
        <w:t xml:space="preserve"> on whether the UE is transmitting QPSK or 256QAM.</w:t>
      </w:r>
      <w:r w:rsidR="0007171E">
        <w:rPr>
          <w:lang w:val="en-GB" w:eastAsia="ja-JP"/>
        </w:rPr>
        <w:t xml:space="preserve"> Since the UE that is using SBFD is coverage limited</w:t>
      </w:r>
      <w:r w:rsidR="00A97F49">
        <w:rPr>
          <w:lang w:val="en-GB" w:eastAsia="ja-JP"/>
        </w:rPr>
        <w:t xml:space="preserve">, it may be expected that </w:t>
      </w:r>
      <w:r w:rsidR="007D2333">
        <w:rPr>
          <w:lang w:val="en-GB" w:eastAsia="ja-JP"/>
        </w:rPr>
        <w:t xml:space="preserve">the UE would use </w:t>
      </w:r>
      <w:r w:rsidR="00FA5EF5">
        <w:rPr>
          <w:lang w:val="en-GB" w:eastAsia="ja-JP"/>
        </w:rPr>
        <w:t>QPSK</w:t>
      </w:r>
      <w:r w:rsidR="007D2333">
        <w:rPr>
          <w:lang w:val="en-GB" w:eastAsia="ja-JP"/>
        </w:rPr>
        <w:t>.</w:t>
      </w:r>
    </w:p>
    <w:p w14:paraId="397833E6" w14:textId="4887A3D5" w:rsidR="007D2333" w:rsidRDefault="007D2333" w:rsidP="0024387F">
      <w:pPr>
        <w:rPr>
          <w:lang w:val="en-GB" w:eastAsia="ja-JP"/>
        </w:rPr>
      </w:pPr>
      <w:r>
        <w:rPr>
          <w:lang w:val="en-GB" w:eastAsia="ja-JP"/>
        </w:rPr>
        <w:t>It should be noted that the A</w:t>
      </w:r>
      <w:r w:rsidR="00A0095A">
        <w:rPr>
          <w:lang w:val="en-GB" w:eastAsia="ja-JP"/>
        </w:rPr>
        <w:t>CLR requirement is 3</w:t>
      </w:r>
      <w:r w:rsidR="009735EE">
        <w:rPr>
          <w:lang w:val="en-GB" w:eastAsia="ja-JP"/>
        </w:rPr>
        <w:t>1</w:t>
      </w:r>
      <w:r w:rsidR="00A0095A">
        <w:rPr>
          <w:lang w:val="en-GB" w:eastAsia="ja-JP"/>
        </w:rPr>
        <w:t>dB, and an SBFD could also be configured to operate in SBFD slots as if it would be configured with a 20MHz carrier, hence achieving 3</w:t>
      </w:r>
      <w:r w:rsidR="009735EE">
        <w:rPr>
          <w:lang w:val="en-GB" w:eastAsia="ja-JP"/>
        </w:rPr>
        <w:t>1</w:t>
      </w:r>
      <w:r w:rsidR="00A0095A">
        <w:rPr>
          <w:lang w:val="en-GB" w:eastAsia="ja-JP"/>
        </w:rPr>
        <w:t xml:space="preserve">dB. </w:t>
      </w:r>
      <w:r w:rsidR="00994662">
        <w:rPr>
          <w:lang w:val="en-GB" w:eastAsia="ja-JP"/>
        </w:rPr>
        <w:t>With 256QAM modulation, the IBE would also be in the same order of magnitude, 3</w:t>
      </w:r>
      <w:r w:rsidR="009B654B">
        <w:rPr>
          <w:lang w:val="en-GB" w:eastAsia="ja-JP"/>
        </w:rPr>
        <w:t>1</w:t>
      </w:r>
      <w:r w:rsidR="00994662">
        <w:rPr>
          <w:lang w:val="en-GB" w:eastAsia="ja-JP"/>
        </w:rPr>
        <w:t>dB.</w:t>
      </w:r>
    </w:p>
    <w:p w14:paraId="20AD22FC" w14:textId="53F3B06D" w:rsidR="00994662" w:rsidRDefault="00994662" w:rsidP="0024387F">
      <w:pPr>
        <w:rPr>
          <w:lang w:val="en-GB" w:eastAsia="ja-JP"/>
        </w:rPr>
      </w:pPr>
      <w:r>
        <w:rPr>
          <w:lang w:val="en-GB" w:eastAsia="ja-JP"/>
        </w:rPr>
        <w:t xml:space="preserve">It is not clear whether UE-UE interference will present a significant issue. It is also not clear whether to assume the worst case of 16dB </w:t>
      </w:r>
      <w:r w:rsidR="00A12E9D">
        <w:rPr>
          <w:lang w:val="en-GB" w:eastAsia="ja-JP"/>
        </w:rPr>
        <w:t>UL-sub-band to DL-sub-band leakage or 3</w:t>
      </w:r>
      <w:r w:rsidR="009B654B">
        <w:rPr>
          <w:lang w:val="en-GB" w:eastAsia="ja-JP"/>
        </w:rPr>
        <w:t>1</w:t>
      </w:r>
      <w:r w:rsidR="00A12E9D">
        <w:rPr>
          <w:lang w:val="en-GB" w:eastAsia="ja-JP"/>
        </w:rPr>
        <w:t xml:space="preserve">dB. We would propose to consider both values as this would assist in deciding whether the UE can be configured with a 100MHz </w:t>
      </w:r>
      <w:r w:rsidR="00A12E9D">
        <w:rPr>
          <w:lang w:val="en-GB" w:eastAsia="ja-JP"/>
        </w:rPr>
        <w:lastRenderedPageBreak/>
        <w:t xml:space="preserve">carrier </w:t>
      </w:r>
      <w:r w:rsidR="00477FD3">
        <w:rPr>
          <w:lang w:val="en-GB" w:eastAsia="ja-JP"/>
        </w:rPr>
        <w:t>and use the IBE requirement, even in the case of QPSK or whether a SBFD UE should be configured as a 20MHz carrier in SBFD slots and achieve 3</w:t>
      </w:r>
      <w:r w:rsidR="009735EE">
        <w:rPr>
          <w:lang w:val="en-GB" w:eastAsia="ja-JP"/>
        </w:rPr>
        <w:t>1</w:t>
      </w:r>
      <w:r w:rsidR="00477FD3">
        <w:rPr>
          <w:lang w:val="en-GB" w:eastAsia="ja-JP"/>
        </w:rPr>
        <w:t>dB.</w:t>
      </w:r>
    </w:p>
    <w:p w14:paraId="6ED939FF" w14:textId="1E92E699" w:rsidR="00477FD3" w:rsidRDefault="00477FD3" w:rsidP="0024387F">
      <w:pPr>
        <w:rPr>
          <w:lang w:val="en-GB" w:eastAsia="ja-JP"/>
        </w:rPr>
      </w:pPr>
    </w:p>
    <w:p w14:paraId="04A531E9" w14:textId="00B437EE" w:rsidR="00477FD3" w:rsidRDefault="00477FD3" w:rsidP="00477FD3">
      <w:pPr>
        <w:pStyle w:val="Proposal"/>
        <w:rPr>
          <w:lang w:val="en-GB"/>
        </w:rPr>
      </w:pPr>
      <w:bookmarkStart w:id="1" w:name="_Toc115107281"/>
      <w:r>
        <w:rPr>
          <w:lang w:val="en-GB"/>
        </w:rPr>
        <w:t xml:space="preserve">For FR1 UE DL </w:t>
      </w:r>
      <w:r w:rsidR="008A4D8D">
        <w:rPr>
          <w:lang w:val="en-GB"/>
        </w:rPr>
        <w:t>emissions, consider two assumptions for the ratio of UE TX power to the total emissions in both DL sub bands of (i) 1</w:t>
      </w:r>
      <w:r w:rsidR="009B654B">
        <w:rPr>
          <w:lang w:val="en-GB"/>
        </w:rPr>
        <w:t>7</w:t>
      </w:r>
      <w:r w:rsidR="008A4D8D">
        <w:rPr>
          <w:lang w:val="en-GB"/>
        </w:rPr>
        <w:t>dB an</w:t>
      </w:r>
      <w:r w:rsidR="00AC0E45">
        <w:rPr>
          <w:lang w:val="en-GB"/>
        </w:rPr>
        <w:t>d</w:t>
      </w:r>
      <w:r w:rsidR="008A4D8D">
        <w:rPr>
          <w:lang w:val="en-GB"/>
        </w:rPr>
        <w:t xml:space="preserve"> (ii) 3</w:t>
      </w:r>
      <w:r w:rsidR="009735EE">
        <w:rPr>
          <w:lang w:val="en-GB"/>
        </w:rPr>
        <w:t>1</w:t>
      </w:r>
      <w:r w:rsidR="008A4D8D">
        <w:rPr>
          <w:lang w:val="en-GB"/>
        </w:rPr>
        <w:t>dB.</w:t>
      </w:r>
      <w:bookmarkEnd w:id="1"/>
      <w:r w:rsidR="00AC0E45">
        <w:rPr>
          <w:lang w:val="en-GB"/>
        </w:rPr>
        <w:t xml:space="preserve"> </w:t>
      </w:r>
    </w:p>
    <w:p w14:paraId="1C48E5A2" w14:textId="18348E40" w:rsidR="00CB3489" w:rsidRDefault="00CB3489" w:rsidP="0024387F">
      <w:pPr>
        <w:rPr>
          <w:lang w:val="en-GB" w:eastAsia="ja-JP"/>
        </w:rPr>
      </w:pPr>
    </w:p>
    <w:p w14:paraId="73519752" w14:textId="0C5D4614" w:rsidR="008A4D8D" w:rsidRDefault="008A4D8D" w:rsidP="008A4D8D">
      <w:pPr>
        <w:pStyle w:val="Heading4"/>
      </w:pPr>
      <w:r>
        <w:t>2.1.1.2      FR2</w:t>
      </w:r>
    </w:p>
    <w:p w14:paraId="53A9F0E6" w14:textId="08D0F939" w:rsidR="009D3698" w:rsidRDefault="003718D5" w:rsidP="0024387F">
      <w:pPr>
        <w:rPr>
          <w:lang w:val="en-GB" w:eastAsia="ja-JP"/>
        </w:rPr>
      </w:pPr>
      <w:r>
        <w:rPr>
          <w:lang w:val="en-GB" w:eastAsia="ja-JP"/>
        </w:rPr>
        <w:t>The in-band emissions are stated as follows in 38.101-2:</w:t>
      </w:r>
    </w:p>
    <w:p w14:paraId="4C73B819" w14:textId="77777777" w:rsidR="003718D5" w:rsidRPr="00C04A08" w:rsidRDefault="003718D5" w:rsidP="003718D5">
      <w:pPr>
        <w:pStyle w:val="TH"/>
      </w:pPr>
      <w:r w:rsidRPr="00C04A08">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718D5" w:rsidRPr="00C04A08" w14:paraId="1C2E8FB1" w14:textId="77777777" w:rsidTr="008D1A02">
        <w:trPr>
          <w:jc w:val="center"/>
        </w:trPr>
        <w:tc>
          <w:tcPr>
            <w:tcW w:w="1187" w:type="dxa"/>
            <w:tcBorders>
              <w:bottom w:val="single" w:sz="4" w:space="0" w:color="auto"/>
              <w:right w:val="single" w:sz="4" w:space="0" w:color="auto"/>
            </w:tcBorders>
            <w:shd w:val="clear" w:color="auto" w:fill="auto"/>
          </w:tcPr>
          <w:p w14:paraId="0E6A6BAE" w14:textId="77777777" w:rsidR="003718D5" w:rsidRPr="00C04A08" w:rsidRDefault="003718D5" w:rsidP="008D1A02">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23B1A876" w14:textId="77777777" w:rsidR="003718D5" w:rsidRPr="00C04A08" w:rsidRDefault="003718D5" w:rsidP="008D1A02">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71987DD2" w14:textId="77777777" w:rsidR="003718D5" w:rsidRPr="00C04A08" w:rsidRDefault="003718D5" w:rsidP="008D1A02">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021FE205" w14:textId="77777777" w:rsidR="003718D5" w:rsidRPr="00C04A08" w:rsidRDefault="003718D5" w:rsidP="008D1A02">
            <w:pPr>
              <w:pStyle w:val="TAH"/>
              <w:rPr>
                <w:rFonts w:cs="Arial"/>
              </w:rPr>
            </w:pPr>
            <w:r w:rsidRPr="00C04A08">
              <w:rPr>
                <w:rFonts w:cs="Arial"/>
              </w:rPr>
              <w:t>Applicable Frequencies</w:t>
            </w:r>
          </w:p>
        </w:tc>
      </w:tr>
      <w:tr w:rsidR="003718D5" w:rsidRPr="00C04A08" w14:paraId="67C01393" w14:textId="77777777" w:rsidTr="008D1A02">
        <w:trPr>
          <w:trHeight w:val="710"/>
          <w:jc w:val="center"/>
        </w:trPr>
        <w:tc>
          <w:tcPr>
            <w:tcW w:w="1187" w:type="dxa"/>
            <w:tcBorders>
              <w:top w:val="single" w:sz="4" w:space="0" w:color="auto"/>
              <w:bottom w:val="single" w:sz="4" w:space="0" w:color="auto"/>
              <w:right w:val="single" w:sz="4" w:space="0" w:color="auto"/>
            </w:tcBorders>
            <w:shd w:val="clear" w:color="auto" w:fill="auto"/>
          </w:tcPr>
          <w:p w14:paraId="414B43C8" w14:textId="77777777" w:rsidR="003718D5" w:rsidRPr="00C04A08" w:rsidRDefault="003718D5" w:rsidP="008D1A02">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7F742F43" w14:textId="77777777" w:rsidR="003718D5" w:rsidRPr="00C04A08" w:rsidRDefault="003718D5" w:rsidP="008D1A02">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74614DA" w14:textId="77777777" w:rsidR="003718D5" w:rsidRPr="009D1A65" w:rsidRDefault="003718D5" w:rsidP="008D1A02">
            <w:pPr>
              <w:keepNext/>
              <w:keepLines/>
              <w:spacing w:after="0"/>
              <w:jc w:val="center"/>
              <w:rPr>
                <w:rFonts w:eastAsia="Malgun Gothic"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69ABE3F" w14:textId="77777777" w:rsidR="003718D5" w:rsidRPr="00C04A08" w:rsidRDefault="003718D5" w:rsidP="008D1A02">
            <w:pPr>
              <w:pStyle w:val="TAC"/>
              <w:rPr>
                <w:rFonts w:cs="Arial"/>
                <w:lang w:eastAsia="ko-KR"/>
              </w:rPr>
            </w:pPr>
          </w:p>
          <w:p w14:paraId="39814291" w14:textId="77777777" w:rsidR="003718D5" w:rsidRPr="00C04A08" w:rsidRDefault="003718D5" w:rsidP="008D1A0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2EE379B0" w14:textId="77777777" w:rsidR="003718D5" w:rsidRPr="00C04A08" w:rsidRDefault="003718D5" w:rsidP="008D1A02">
            <w:pPr>
              <w:pStyle w:val="TAC"/>
              <w:rPr>
                <w:rFonts w:cs="Arial"/>
              </w:rPr>
            </w:pPr>
            <w:r w:rsidRPr="00C04A08">
              <w:rPr>
                <w:rFonts w:cs="Arial"/>
              </w:rPr>
              <w:t>Any non-allocated (NOTE 2)</w:t>
            </w:r>
          </w:p>
        </w:tc>
      </w:tr>
      <w:tr w:rsidR="003718D5" w:rsidRPr="00C04A08" w14:paraId="4E8FD19C" w14:textId="77777777" w:rsidTr="008D1A02">
        <w:trPr>
          <w:jc w:val="center"/>
        </w:trPr>
        <w:tc>
          <w:tcPr>
            <w:tcW w:w="1187" w:type="dxa"/>
            <w:tcBorders>
              <w:top w:val="single" w:sz="4" w:space="0" w:color="auto"/>
              <w:bottom w:val="nil"/>
              <w:right w:val="single" w:sz="4" w:space="0" w:color="auto"/>
            </w:tcBorders>
            <w:shd w:val="clear" w:color="auto" w:fill="auto"/>
          </w:tcPr>
          <w:p w14:paraId="4EBBE8E9" w14:textId="77777777" w:rsidR="003718D5" w:rsidRPr="00C04A08" w:rsidRDefault="003718D5" w:rsidP="008D1A02">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19E30BD0" w14:textId="77777777" w:rsidR="003718D5" w:rsidRPr="00C04A08" w:rsidRDefault="003718D5" w:rsidP="008D1A02">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3648E3E2" w14:textId="77777777" w:rsidR="003718D5" w:rsidRPr="00C04A08" w:rsidRDefault="003718D5" w:rsidP="008D1A02">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255B2D38" w14:textId="77777777" w:rsidR="003718D5" w:rsidRPr="00C04A08" w:rsidRDefault="003718D5" w:rsidP="008D1A02">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35E28833" w14:textId="77777777" w:rsidR="003718D5" w:rsidRPr="00C04A08" w:rsidRDefault="003718D5" w:rsidP="008D1A02">
            <w:pPr>
              <w:pStyle w:val="TAC"/>
              <w:rPr>
                <w:rFonts w:cs="Arial"/>
              </w:rPr>
            </w:pPr>
            <w:r w:rsidRPr="00C04A08">
              <w:rPr>
                <w:rFonts w:cs="Arial"/>
              </w:rPr>
              <w:t>Image frequencies (NOTES 2, 3)</w:t>
            </w:r>
          </w:p>
        </w:tc>
      </w:tr>
      <w:tr w:rsidR="003718D5" w:rsidRPr="00C04A08" w14:paraId="2C6F081B" w14:textId="77777777" w:rsidTr="008D1A02">
        <w:trPr>
          <w:jc w:val="center"/>
        </w:trPr>
        <w:tc>
          <w:tcPr>
            <w:tcW w:w="1187" w:type="dxa"/>
            <w:tcBorders>
              <w:top w:val="nil"/>
              <w:bottom w:val="single" w:sz="4" w:space="0" w:color="auto"/>
              <w:right w:val="single" w:sz="4" w:space="0" w:color="auto"/>
            </w:tcBorders>
            <w:shd w:val="clear" w:color="auto" w:fill="auto"/>
          </w:tcPr>
          <w:p w14:paraId="7E6939A4" w14:textId="77777777" w:rsidR="003718D5" w:rsidRPr="00C04A08" w:rsidRDefault="003718D5" w:rsidP="008D1A02">
            <w:pPr>
              <w:pStyle w:val="TAH"/>
            </w:pPr>
          </w:p>
        </w:tc>
        <w:tc>
          <w:tcPr>
            <w:tcW w:w="566" w:type="dxa"/>
            <w:tcBorders>
              <w:top w:val="nil"/>
              <w:left w:val="single" w:sz="4" w:space="0" w:color="auto"/>
              <w:bottom w:val="single" w:sz="4" w:space="0" w:color="auto"/>
              <w:right w:val="single" w:sz="4" w:space="0" w:color="auto"/>
            </w:tcBorders>
            <w:shd w:val="clear" w:color="auto" w:fill="auto"/>
          </w:tcPr>
          <w:p w14:paraId="25D53EF7" w14:textId="77777777" w:rsidR="003718D5" w:rsidRPr="00C04A08" w:rsidRDefault="003718D5" w:rsidP="008D1A02">
            <w:pPr>
              <w:pStyle w:val="TAC"/>
              <w:rPr>
                <w:rFonts w:cs="Arial"/>
              </w:rPr>
            </w:pPr>
          </w:p>
        </w:tc>
        <w:tc>
          <w:tcPr>
            <w:tcW w:w="1845" w:type="dxa"/>
            <w:tcBorders>
              <w:top w:val="single" w:sz="4" w:space="0" w:color="auto"/>
              <w:left w:val="single" w:sz="4" w:space="0" w:color="auto"/>
              <w:right w:val="single" w:sz="4" w:space="0" w:color="auto"/>
            </w:tcBorders>
          </w:tcPr>
          <w:p w14:paraId="00DD6346" w14:textId="77777777" w:rsidR="003718D5" w:rsidRPr="00C04A08" w:rsidRDefault="003718D5" w:rsidP="008D1A02">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48362A3A" w14:textId="77777777" w:rsidR="003718D5" w:rsidRPr="00C04A08" w:rsidRDefault="003718D5" w:rsidP="008D1A02">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60FEDCF2" w14:textId="77777777" w:rsidR="003718D5" w:rsidRPr="00C04A08" w:rsidRDefault="003718D5" w:rsidP="008D1A02">
            <w:pPr>
              <w:pStyle w:val="TAC"/>
              <w:rPr>
                <w:rFonts w:cs="Arial"/>
              </w:rPr>
            </w:pPr>
          </w:p>
        </w:tc>
      </w:tr>
      <w:tr w:rsidR="003718D5" w:rsidRPr="00C04A08" w14:paraId="041448B3" w14:textId="77777777" w:rsidTr="008D1A02">
        <w:trPr>
          <w:trHeight w:val="208"/>
          <w:jc w:val="center"/>
        </w:trPr>
        <w:tc>
          <w:tcPr>
            <w:tcW w:w="1187" w:type="dxa"/>
            <w:tcBorders>
              <w:top w:val="single" w:sz="4" w:space="0" w:color="auto"/>
              <w:bottom w:val="nil"/>
              <w:right w:val="single" w:sz="4" w:space="0" w:color="auto"/>
            </w:tcBorders>
            <w:shd w:val="clear" w:color="auto" w:fill="auto"/>
          </w:tcPr>
          <w:p w14:paraId="3A96C5A2" w14:textId="77777777" w:rsidR="003718D5" w:rsidRPr="00C04A08" w:rsidRDefault="003718D5" w:rsidP="008D1A02">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452898D0" w14:textId="77777777" w:rsidR="003718D5" w:rsidRPr="00C04A08" w:rsidRDefault="003718D5" w:rsidP="008D1A02">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tcPr>
          <w:p w14:paraId="417B4FE9" w14:textId="77777777" w:rsidR="003718D5" w:rsidRPr="00C04A08" w:rsidRDefault="003718D5" w:rsidP="008D1A02">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32B56A26" w14:textId="77777777" w:rsidR="003718D5" w:rsidRPr="00C04A08" w:rsidRDefault="003718D5" w:rsidP="008D1A02">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74B5F8BC" w14:textId="77777777" w:rsidR="003718D5" w:rsidRPr="00C04A08" w:rsidRDefault="003718D5" w:rsidP="008D1A02">
            <w:pPr>
              <w:pStyle w:val="TAC"/>
              <w:rPr>
                <w:rFonts w:cs="Arial"/>
              </w:rPr>
            </w:pPr>
            <w:r w:rsidRPr="00C04A08">
              <w:rPr>
                <w:rFonts w:cs="Arial"/>
              </w:rPr>
              <w:t>Carrier frequency (NOTES 4, 5)</w:t>
            </w:r>
          </w:p>
        </w:tc>
      </w:tr>
      <w:tr w:rsidR="003718D5" w:rsidRPr="00C04A08" w14:paraId="54E6044D" w14:textId="77777777" w:rsidTr="008D1A02">
        <w:trPr>
          <w:trHeight w:val="208"/>
          <w:jc w:val="center"/>
        </w:trPr>
        <w:tc>
          <w:tcPr>
            <w:tcW w:w="1187" w:type="dxa"/>
            <w:tcBorders>
              <w:top w:val="nil"/>
              <w:right w:val="single" w:sz="4" w:space="0" w:color="auto"/>
            </w:tcBorders>
            <w:shd w:val="clear" w:color="auto" w:fill="auto"/>
          </w:tcPr>
          <w:p w14:paraId="1935AD02" w14:textId="77777777" w:rsidR="003718D5" w:rsidRPr="00C04A08" w:rsidRDefault="003718D5" w:rsidP="008D1A02">
            <w:pPr>
              <w:pStyle w:val="TAH"/>
              <w:rPr>
                <w:rFonts w:cs="Arial"/>
              </w:rPr>
            </w:pPr>
          </w:p>
        </w:tc>
        <w:tc>
          <w:tcPr>
            <w:tcW w:w="566" w:type="dxa"/>
            <w:tcBorders>
              <w:top w:val="nil"/>
              <w:left w:val="single" w:sz="4" w:space="0" w:color="auto"/>
              <w:right w:val="single" w:sz="4" w:space="0" w:color="auto"/>
            </w:tcBorders>
            <w:shd w:val="clear" w:color="auto" w:fill="auto"/>
          </w:tcPr>
          <w:p w14:paraId="3B3ADF1F" w14:textId="77777777" w:rsidR="003718D5" w:rsidRPr="00C04A08" w:rsidRDefault="003718D5" w:rsidP="008D1A02">
            <w:pPr>
              <w:pStyle w:val="TAC"/>
              <w:rPr>
                <w:rFonts w:cs="Arial"/>
              </w:rPr>
            </w:pPr>
          </w:p>
        </w:tc>
        <w:tc>
          <w:tcPr>
            <w:tcW w:w="1845" w:type="dxa"/>
            <w:tcBorders>
              <w:top w:val="single" w:sz="4" w:space="0" w:color="auto"/>
              <w:left w:val="single" w:sz="4" w:space="0" w:color="auto"/>
              <w:right w:val="single" w:sz="4" w:space="0" w:color="auto"/>
            </w:tcBorders>
          </w:tcPr>
          <w:p w14:paraId="5C8E8758" w14:textId="77777777" w:rsidR="003718D5" w:rsidRPr="00C04A08" w:rsidRDefault="003718D5" w:rsidP="008D1A02">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62EB2810" w14:textId="77777777" w:rsidR="003718D5" w:rsidRPr="00C04A08" w:rsidRDefault="003718D5" w:rsidP="008D1A02">
            <w:pPr>
              <w:pStyle w:val="TAL"/>
              <w:jc w:val="center"/>
              <w:rPr>
                <w:rFonts w:cs="Arial"/>
              </w:rPr>
            </w:pPr>
            <w:r w:rsidRPr="00C04A08">
              <w:rPr>
                <w:rFonts w:cs="Arial"/>
              </w:rPr>
              <w:t>-13 dBm ≤ Output power ≤ 0 dBm</w:t>
            </w:r>
          </w:p>
        </w:tc>
        <w:tc>
          <w:tcPr>
            <w:tcW w:w="1905" w:type="dxa"/>
            <w:tcBorders>
              <w:top w:val="nil"/>
              <w:left w:val="single" w:sz="4" w:space="0" w:color="auto"/>
              <w:right w:val="single" w:sz="4" w:space="0" w:color="auto"/>
            </w:tcBorders>
            <w:shd w:val="clear" w:color="auto" w:fill="auto"/>
          </w:tcPr>
          <w:p w14:paraId="726CD9A2" w14:textId="77777777" w:rsidR="003718D5" w:rsidRPr="00C04A08" w:rsidRDefault="003718D5" w:rsidP="008D1A02">
            <w:pPr>
              <w:spacing w:after="0"/>
              <w:jc w:val="center"/>
            </w:pPr>
          </w:p>
        </w:tc>
      </w:tr>
      <w:tr w:rsidR="003718D5" w:rsidRPr="00C04A08" w14:paraId="4822487E" w14:textId="77777777" w:rsidTr="008D1A02">
        <w:trPr>
          <w:trHeight w:val="424"/>
          <w:jc w:val="center"/>
        </w:trPr>
        <w:tc>
          <w:tcPr>
            <w:tcW w:w="10189" w:type="dxa"/>
            <w:gridSpan w:val="5"/>
            <w:tcBorders>
              <w:right w:val="single" w:sz="4" w:space="0" w:color="auto"/>
            </w:tcBorders>
            <w:shd w:val="clear" w:color="auto" w:fill="auto"/>
            <w:vAlign w:val="center"/>
          </w:tcPr>
          <w:p w14:paraId="173FDFE8" w14:textId="77777777" w:rsidR="003718D5" w:rsidRPr="00C04A08" w:rsidRDefault="003718D5" w:rsidP="008D1A02">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87D8A45" w14:textId="77777777" w:rsidR="003718D5" w:rsidRPr="00C04A08" w:rsidRDefault="003718D5" w:rsidP="008D1A02">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32E3B61" w14:textId="77777777" w:rsidR="003718D5" w:rsidRPr="00C04A08" w:rsidRDefault="003718D5" w:rsidP="008D1A02">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FA8C890" w14:textId="77777777" w:rsidR="003718D5" w:rsidRPr="00C04A08" w:rsidRDefault="003718D5" w:rsidP="008D1A02">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79230B5C" w14:textId="77777777" w:rsidR="003718D5" w:rsidRPr="00C04A08" w:rsidRDefault="003718D5" w:rsidP="008D1A02">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077BA76" w14:textId="77777777" w:rsidR="003718D5" w:rsidRPr="00C04A08" w:rsidRDefault="003718D5" w:rsidP="008D1A02">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1C392C64" w14:textId="77777777" w:rsidR="003718D5" w:rsidRPr="00C04A08" w:rsidRDefault="003718D5" w:rsidP="008D1A02">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868C4E7" w14:textId="77777777" w:rsidR="003718D5" w:rsidRPr="00C04A08" w:rsidRDefault="003718D5" w:rsidP="008D1A02">
            <w:pPr>
              <w:pStyle w:val="TAN"/>
              <w:spacing w:line="276" w:lineRule="auto"/>
            </w:pPr>
            <w:r w:rsidRPr="00C04A08">
              <w:t>NOTE 8:</w:t>
            </w:r>
            <w:r w:rsidRPr="00C04A08">
              <w:tab/>
              <w:t>EVM s the limit for the modulation format used in the allocated RBs.</w:t>
            </w:r>
          </w:p>
          <w:p w14:paraId="4656C42F" w14:textId="77777777" w:rsidR="003718D5" w:rsidRPr="00C04A08" w:rsidRDefault="003718D5" w:rsidP="008D1A02">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09B118FE" w14:textId="77777777" w:rsidR="003718D5" w:rsidRPr="00C04A08" w:rsidRDefault="003718D5" w:rsidP="008D1A02">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A187A8C" w14:textId="77777777" w:rsidR="003718D5" w:rsidRPr="00C04A08" w:rsidRDefault="003718D5" w:rsidP="008D1A02">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53F5A64B" w14:textId="4B40FACF" w:rsidR="003718D5" w:rsidRDefault="003718D5" w:rsidP="0024387F">
      <w:pPr>
        <w:rPr>
          <w:lang w:val="en-GB" w:eastAsia="ja-JP"/>
        </w:rPr>
      </w:pPr>
    </w:p>
    <w:p w14:paraId="16E2B5B0" w14:textId="23E6AF6E" w:rsidR="00410155" w:rsidRDefault="00410155" w:rsidP="0024387F">
      <w:pPr>
        <w:rPr>
          <w:lang w:val="en-GB" w:eastAsia="ja-JP"/>
        </w:rPr>
      </w:pPr>
      <w:r>
        <w:rPr>
          <w:lang w:val="en-GB" w:eastAsia="ja-JP"/>
        </w:rPr>
        <w:lastRenderedPageBreak/>
        <w:t>The IBE requirements are the same as for FR1. However, the ratio may be somewhat different depending on the RB allocation for FR2.</w:t>
      </w:r>
    </w:p>
    <w:p w14:paraId="63E4CECC" w14:textId="6C317268" w:rsidR="00410155" w:rsidRDefault="00410155" w:rsidP="0024387F">
      <w:pPr>
        <w:rPr>
          <w:lang w:val="en-GB" w:eastAsia="ja-JP"/>
        </w:rPr>
      </w:pPr>
      <w:r>
        <w:rPr>
          <w:lang w:val="en-GB" w:eastAsia="ja-JP"/>
        </w:rPr>
        <w:t>We have proposed a 200MHz FR2 allocation</w:t>
      </w:r>
      <w:r w:rsidR="00141846">
        <w:rPr>
          <w:lang w:val="en-GB" w:eastAsia="ja-JP"/>
        </w:rPr>
        <w:t xml:space="preserve"> as 75-50-75MHz (50MHz UL sub-band, 2*75MHz DL sub-bands). </w:t>
      </w:r>
      <w:r w:rsidR="001F1D66">
        <w:rPr>
          <w:lang w:val="en-GB" w:eastAsia="ja-JP"/>
        </w:rPr>
        <w:t xml:space="preserve">The RB allocation is 32RBs for the UL sub-band and 47 RBs or each of the DL sub-bands. </w:t>
      </w:r>
      <w:r w:rsidR="00362B9A">
        <w:rPr>
          <w:lang w:val="en-GB" w:eastAsia="ja-JP"/>
        </w:rPr>
        <w:t>There is a 3RB guard between the DL and UL sub-bands.</w:t>
      </w:r>
    </w:p>
    <w:p w14:paraId="332E09A0" w14:textId="7ACDD334" w:rsidR="00CB0497" w:rsidRDefault="00CB0497" w:rsidP="00CB0497">
      <w:pPr>
        <w:rPr>
          <w:lang w:val="en-GB" w:eastAsia="ja-JP"/>
        </w:rPr>
      </w:pPr>
      <w:r>
        <w:rPr>
          <w:lang w:val="en-GB" w:eastAsia="ja-JP"/>
        </w:rPr>
        <w:t xml:space="preserve">Taking the general emissions requirement, if the ratio of the total power in the UL sub-band to the total power in the DL sub-bands is calculated </w:t>
      </w:r>
      <w:proofErr w:type="gramStart"/>
      <w:r>
        <w:rPr>
          <w:lang w:val="en-GB" w:eastAsia="ja-JP"/>
        </w:rPr>
        <w:t>taking into account</w:t>
      </w:r>
      <w:proofErr w:type="gramEnd"/>
      <w:r>
        <w:rPr>
          <w:lang w:val="en-GB" w:eastAsia="ja-JP"/>
        </w:rPr>
        <w:t xml:space="preserve"> the guard RBs, then for QPSK modulation the radio is 18dB. For 256QAM modulation, the ratio becomes 32dB.</w:t>
      </w:r>
    </w:p>
    <w:p w14:paraId="3FFEF5F2" w14:textId="4EE38D96" w:rsidR="00CB0497" w:rsidRDefault="00281444" w:rsidP="0024387F">
      <w:pPr>
        <w:rPr>
          <w:lang w:val="en-GB" w:eastAsia="ja-JP"/>
        </w:rPr>
      </w:pPr>
      <w:r>
        <w:rPr>
          <w:lang w:val="en-GB" w:eastAsia="ja-JP"/>
        </w:rPr>
        <w:t>The ACLR requirement is 17dB, which corresponds to the IBE requirement for QPSK. We propose to assume 17dB suppression for FR2.</w:t>
      </w:r>
    </w:p>
    <w:p w14:paraId="0ABB9042" w14:textId="76F1DE45" w:rsidR="00281444" w:rsidRDefault="00281444" w:rsidP="00281444">
      <w:pPr>
        <w:pStyle w:val="Proposal"/>
        <w:rPr>
          <w:lang w:val="en-GB"/>
        </w:rPr>
      </w:pPr>
      <w:bookmarkStart w:id="2" w:name="_Toc115107282"/>
      <w:r>
        <w:rPr>
          <w:lang w:val="en-GB"/>
        </w:rPr>
        <w:t>For FR</w:t>
      </w:r>
      <w:r w:rsidR="00C1549E">
        <w:rPr>
          <w:lang w:val="en-GB"/>
        </w:rPr>
        <w:t>2</w:t>
      </w:r>
      <w:r>
        <w:rPr>
          <w:lang w:val="en-GB"/>
        </w:rPr>
        <w:t xml:space="preserve"> UE DL emissions, </w:t>
      </w:r>
      <w:r w:rsidR="00C1549E">
        <w:rPr>
          <w:lang w:val="en-GB"/>
        </w:rPr>
        <w:t>assume</w:t>
      </w:r>
      <w:r>
        <w:rPr>
          <w:lang w:val="en-GB"/>
        </w:rPr>
        <w:t xml:space="preserve"> the ratio of UE TX power to the total emissions in both DL sub bands </w:t>
      </w:r>
      <w:r w:rsidR="00C1549E">
        <w:rPr>
          <w:lang w:val="en-GB"/>
        </w:rPr>
        <w:t>to be</w:t>
      </w:r>
      <w:r>
        <w:rPr>
          <w:lang w:val="en-GB"/>
        </w:rPr>
        <w:t xml:space="preserve"> 17dB.</w:t>
      </w:r>
      <w:bookmarkEnd w:id="2"/>
    </w:p>
    <w:p w14:paraId="2695A8B1" w14:textId="022CE1AF" w:rsidR="00AC7FBE" w:rsidRDefault="00AC7FBE" w:rsidP="00281444">
      <w:pPr>
        <w:pStyle w:val="Proposal"/>
        <w:numPr>
          <w:ilvl w:val="0"/>
          <w:numId w:val="0"/>
        </w:numPr>
        <w:ind w:left="1701"/>
        <w:rPr>
          <w:lang w:val="en-GB"/>
        </w:rPr>
      </w:pPr>
    </w:p>
    <w:p w14:paraId="7804EC03" w14:textId="2CC7B51E" w:rsidR="00AC7FBE" w:rsidRDefault="00AC7FBE" w:rsidP="00AC7FBE">
      <w:pPr>
        <w:pStyle w:val="Heading3"/>
      </w:pPr>
      <w:r>
        <w:t>2.1.2</w:t>
      </w:r>
      <w:r>
        <w:tab/>
      </w:r>
      <w:r w:rsidR="009D1EE9">
        <w:t>Adjacent channel</w:t>
      </w:r>
    </w:p>
    <w:p w14:paraId="6FDF22C7" w14:textId="18A36EF3" w:rsidR="00AC7FBE" w:rsidRPr="0024387F" w:rsidRDefault="00AC7FBE" w:rsidP="00AC7FBE">
      <w:pPr>
        <w:rPr>
          <w:lang w:val="en-GB" w:eastAsia="ja-JP"/>
        </w:rPr>
      </w:pPr>
      <w:r>
        <w:rPr>
          <w:lang w:val="en-GB" w:eastAsia="ja-JP"/>
        </w:rPr>
        <w:t xml:space="preserve">For </w:t>
      </w:r>
      <w:r w:rsidR="009D1EE9">
        <w:rPr>
          <w:lang w:val="en-GB" w:eastAsia="ja-JP"/>
        </w:rPr>
        <w:t>adjacent channel</w:t>
      </w:r>
      <w:r>
        <w:rPr>
          <w:lang w:val="en-GB" w:eastAsia="ja-JP"/>
        </w:rPr>
        <w:t xml:space="preserve"> emissions</w:t>
      </w:r>
      <w:r w:rsidR="00A364ED">
        <w:rPr>
          <w:lang w:val="en-GB" w:eastAsia="ja-JP"/>
        </w:rPr>
        <w:t xml:space="preserve">, it was agreed at RAN4#104bis-e to assume UE ACLR </w:t>
      </w:r>
      <w:r w:rsidR="00D66C79">
        <w:rPr>
          <w:lang w:val="en-GB" w:eastAsia="ja-JP"/>
        </w:rPr>
        <w:t>performance with two FFS; one on whether to create a 2 step ACLR model and a second on what to assume for per PRB emissions.</w:t>
      </w:r>
    </w:p>
    <w:p w14:paraId="5E461784" w14:textId="1AB405BA" w:rsidR="00AC7FBE" w:rsidRDefault="00AC7FBE" w:rsidP="00AC7FBE">
      <w:pPr>
        <w:pStyle w:val="Heading4"/>
      </w:pPr>
      <w:r>
        <w:t>2.1.2.1      FR1</w:t>
      </w:r>
    </w:p>
    <w:p w14:paraId="0EDAB957" w14:textId="605FA3F5" w:rsidR="00AC7FBE" w:rsidRDefault="003C1292" w:rsidP="00145642">
      <w:pPr>
        <w:pStyle w:val="B8"/>
        <w:ind w:left="0" w:firstLine="0"/>
        <w:jc w:val="left"/>
        <w:rPr>
          <w:lang w:val="en-GB"/>
        </w:rPr>
      </w:pPr>
      <w:r>
        <w:rPr>
          <w:lang w:val="en-GB"/>
        </w:rPr>
        <w:t>The NR ACL</w:t>
      </w:r>
      <w:r w:rsidR="0030080F">
        <w:rPr>
          <w:lang w:val="en-GB"/>
        </w:rPr>
        <w:t>R</w:t>
      </w:r>
      <w:r>
        <w:rPr>
          <w:lang w:val="en-GB"/>
        </w:rPr>
        <w:t xml:space="preserve"> for FR1 is 31dB.</w:t>
      </w:r>
      <w:r w:rsidR="0030080F">
        <w:rPr>
          <w:lang w:val="en-GB"/>
        </w:rPr>
        <w:t xml:space="preserve"> There is a </w:t>
      </w:r>
      <w:r w:rsidR="005C377B">
        <w:rPr>
          <w:lang w:val="en-GB"/>
        </w:rPr>
        <w:t>two step ACLR for UTRA, but this is for UTRA bands and bandwidths</w:t>
      </w:r>
      <w:r w:rsidR="007972F0">
        <w:rPr>
          <w:lang w:val="en-GB"/>
        </w:rPr>
        <w:t xml:space="preserve">. There is not any support in the specification for a </w:t>
      </w:r>
      <w:r w:rsidR="00185211">
        <w:rPr>
          <w:lang w:val="en-GB"/>
        </w:rPr>
        <w:t>two-step</w:t>
      </w:r>
      <w:r w:rsidR="007972F0">
        <w:rPr>
          <w:lang w:val="en-GB"/>
        </w:rPr>
        <w:t xml:space="preserve"> ACLR model.</w:t>
      </w:r>
    </w:p>
    <w:p w14:paraId="4B2283EE" w14:textId="343C7DF3" w:rsidR="007972F0" w:rsidRDefault="007972F0" w:rsidP="00145642">
      <w:pPr>
        <w:pStyle w:val="B8"/>
        <w:ind w:left="0" w:firstLine="0"/>
        <w:jc w:val="left"/>
        <w:rPr>
          <w:lang w:val="en-GB"/>
        </w:rPr>
      </w:pPr>
      <w:r>
        <w:rPr>
          <w:lang w:val="en-GB"/>
        </w:rPr>
        <w:t>The adjacent channel emissions are needed for UE-UE co-existence simulations</w:t>
      </w:r>
      <w:r w:rsidR="00F9647C">
        <w:rPr>
          <w:lang w:val="en-GB"/>
        </w:rPr>
        <w:t xml:space="preserve">, which consider the total </w:t>
      </w:r>
      <w:r w:rsidR="00D03C90">
        <w:rPr>
          <w:lang w:val="en-GB"/>
        </w:rPr>
        <w:t xml:space="preserve">interference towards a victim UE using DL on an adjacent carrier from an aggressor UE transmitting in the UL sub-band. Such simulations do not require per RB interference levels and so there is no need to develop </w:t>
      </w:r>
      <w:r w:rsidR="008B0BF2">
        <w:rPr>
          <w:lang w:val="en-GB"/>
        </w:rPr>
        <w:t>a per RB model; anyhow it would not be possible to link support of such a model to the specifications.</w:t>
      </w:r>
    </w:p>
    <w:p w14:paraId="0FB8A4BA" w14:textId="360C58F4" w:rsidR="008B0BF2" w:rsidRDefault="008B0BF2" w:rsidP="00145642">
      <w:pPr>
        <w:pStyle w:val="B8"/>
        <w:ind w:left="0" w:firstLine="0"/>
        <w:jc w:val="left"/>
        <w:rPr>
          <w:lang w:val="en-GB"/>
        </w:rPr>
      </w:pPr>
      <w:r>
        <w:rPr>
          <w:lang w:val="en-GB"/>
        </w:rPr>
        <w:t>Thus, based on the specifications, the 31dB ACLR should be used. If it would prove later that UE-UE adjacent CLI is a significant issue then the assumption could be revisited, but any assumption that goes beyond the information available in 38.101-1</w:t>
      </w:r>
      <w:r w:rsidR="00E92ABD">
        <w:rPr>
          <w:lang w:val="en-GB"/>
        </w:rPr>
        <w:t xml:space="preserve"> would necessitate some addition to the UE specification to ensure that all UEs would meet the assumption.</w:t>
      </w:r>
    </w:p>
    <w:p w14:paraId="12BD6914" w14:textId="35075294" w:rsidR="00E92ABD" w:rsidRDefault="00E92ABD" w:rsidP="00E92ABD">
      <w:pPr>
        <w:pStyle w:val="Proposal"/>
        <w:rPr>
          <w:lang w:val="en-GB"/>
        </w:rPr>
      </w:pPr>
      <w:bookmarkStart w:id="3" w:name="_Toc115107283"/>
      <w:r>
        <w:rPr>
          <w:lang w:val="en-GB"/>
        </w:rPr>
        <w:t>For FR1, assume 31dB ACLR for adjacent channel</w:t>
      </w:r>
      <w:r w:rsidR="00BB6781">
        <w:rPr>
          <w:lang w:val="en-GB"/>
        </w:rPr>
        <w:t xml:space="preserve"> interference.</w:t>
      </w:r>
      <w:bookmarkEnd w:id="3"/>
    </w:p>
    <w:p w14:paraId="74F7BB59" w14:textId="5EDB3F63" w:rsidR="00BB6781" w:rsidRDefault="00BB6781" w:rsidP="00BB6781">
      <w:pPr>
        <w:pStyle w:val="Proposal"/>
        <w:numPr>
          <w:ilvl w:val="0"/>
          <w:numId w:val="0"/>
        </w:numPr>
        <w:ind w:left="1701" w:hanging="1701"/>
        <w:rPr>
          <w:lang w:val="en-GB"/>
        </w:rPr>
      </w:pPr>
    </w:p>
    <w:p w14:paraId="1A88588B" w14:textId="31E94752" w:rsidR="00BB6781" w:rsidRDefault="00BB6781" w:rsidP="00BB6781">
      <w:pPr>
        <w:pStyle w:val="Heading4"/>
      </w:pPr>
      <w:r>
        <w:t>2.1.2.1      FR2</w:t>
      </w:r>
    </w:p>
    <w:p w14:paraId="1C1BB520" w14:textId="545E72B7" w:rsidR="00BB6781" w:rsidRDefault="006970CF" w:rsidP="006970CF">
      <w:pPr>
        <w:pStyle w:val="B8"/>
        <w:ind w:left="0" w:firstLine="0"/>
        <w:rPr>
          <w:lang w:val="en-GB"/>
        </w:rPr>
      </w:pPr>
      <w:r>
        <w:rPr>
          <w:lang w:val="en-GB"/>
        </w:rPr>
        <w:t>With similar reasoning to FR1, a two-step or per RB ACLR is not needed for FR2 and an ACLR of 17dB should be assumed, as according to 38.101-2.</w:t>
      </w:r>
    </w:p>
    <w:p w14:paraId="401E0CAA" w14:textId="137C3781" w:rsidR="006970CF" w:rsidRDefault="006970CF" w:rsidP="006970CF">
      <w:pPr>
        <w:pStyle w:val="Proposal"/>
        <w:rPr>
          <w:lang w:val="en-GB"/>
        </w:rPr>
      </w:pPr>
      <w:bookmarkStart w:id="4" w:name="_Toc115107284"/>
      <w:r>
        <w:rPr>
          <w:lang w:val="en-GB"/>
        </w:rPr>
        <w:t>For FR2, assume 17dB ACLR for adjacent channel interference.</w:t>
      </w:r>
      <w:bookmarkEnd w:id="4"/>
    </w:p>
    <w:p w14:paraId="20658E52" w14:textId="67E55BA8" w:rsidR="006970CF" w:rsidRDefault="006970CF" w:rsidP="006970CF">
      <w:pPr>
        <w:pStyle w:val="B8"/>
        <w:ind w:left="0" w:firstLine="0"/>
        <w:rPr>
          <w:lang w:val="en-GB"/>
        </w:rPr>
      </w:pPr>
    </w:p>
    <w:p w14:paraId="6D954A99" w14:textId="256D562D" w:rsidR="00A07B09" w:rsidRDefault="00A07B09" w:rsidP="00A07B09">
      <w:pPr>
        <w:pStyle w:val="Heading2"/>
      </w:pPr>
      <w:r>
        <w:t>2</w:t>
      </w:r>
      <w:r w:rsidR="009320BB">
        <w:t>.2</w:t>
      </w:r>
      <w:r>
        <w:tab/>
      </w:r>
      <w:r w:rsidR="009320BB">
        <w:t>Receiver</w:t>
      </w:r>
      <w:r>
        <w:t xml:space="preserve"> assumptions</w:t>
      </w:r>
    </w:p>
    <w:p w14:paraId="135BBEC7" w14:textId="1B97F4F7" w:rsidR="00A07B09" w:rsidRDefault="00A07B09" w:rsidP="00A07B09">
      <w:pPr>
        <w:pStyle w:val="Heading3"/>
      </w:pPr>
      <w:r>
        <w:t>2.</w:t>
      </w:r>
      <w:r w:rsidR="009320BB">
        <w:t>2</w:t>
      </w:r>
      <w:r>
        <w:t>.1</w:t>
      </w:r>
      <w:r>
        <w:tab/>
        <w:t>Inter sub-band</w:t>
      </w:r>
    </w:p>
    <w:p w14:paraId="41B2A10C" w14:textId="42D73E3C" w:rsidR="00A07B09" w:rsidRDefault="006A3A08" w:rsidP="00A07B09">
      <w:pPr>
        <w:rPr>
          <w:lang w:val="en-GB" w:eastAsia="ja-JP"/>
        </w:rPr>
      </w:pPr>
      <w:r>
        <w:rPr>
          <w:lang w:val="en-GB" w:eastAsia="ja-JP"/>
        </w:rPr>
        <w:t xml:space="preserve">The UE specification does not contain a requirement on in-channel selectivity. There is a requirement on maximum input level, which should be </w:t>
      </w:r>
      <w:proofErr w:type="gramStart"/>
      <w:r>
        <w:rPr>
          <w:lang w:val="en-GB" w:eastAsia="ja-JP"/>
        </w:rPr>
        <w:t>taken into account</w:t>
      </w:r>
      <w:proofErr w:type="gramEnd"/>
      <w:r w:rsidR="00A07B09">
        <w:rPr>
          <w:lang w:val="en-GB" w:eastAsia="ja-JP"/>
        </w:rPr>
        <w:t>.</w:t>
      </w:r>
      <w:r>
        <w:rPr>
          <w:lang w:val="en-GB" w:eastAsia="ja-JP"/>
        </w:rPr>
        <w:t xml:space="preserve"> However, the performance of a UE exposed to a low power RX signal </w:t>
      </w:r>
      <w:r w:rsidR="007D5255">
        <w:rPr>
          <w:lang w:val="en-GB" w:eastAsia="ja-JP"/>
        </w:rPr>
        <w:t xml:space="preserve">together with a </w:t>
      </w:r>
      <w:r w:rsidR="00D24BBA">
        <w:rPr>
          <w:lang w:val="en-GB" w:eastAsia="ja-JP"/>
        </w:rPr>
        <w:t>high-power</w:t>
      </w:r>
      <w:r w:rsidR="007D5255">
        <w:rPr>
          <w:lang w:val="en-GB" w:eastAsia="ja-JP"/>
        </w:rPr>
        <w:t xml:space="preserve"> interferer that is close to the maximum power is not subject to a requirement.</w:t>
      </w:r>
    </w:p>
    <w:p w14:paraId="6F722C42" w14:textId="4B3B4182" w:rsidR="007D5255" w:rsidRDefault="007D5255" w:rsidP="00A07B09">
      <w:pPr>
        <w:rPr>
          <w:lang w:val="en-GB" w:eastAsia="ja-JP"/>
        </w:rPr>
      </w:pPr>
      <w:r>
        <w:rPr>
          <w:lang w:val="en-GB" w:eastAsia="ja-JP"/>
        </w:rPr>
        <w:lastRenderedPageBreak/>
        <w:t>The nearest available requirement is the ACS requirement. ACS applies for the adjacent channel, not inter-sub-band</w:t>
      </w:r>
      <w:r w:rsidR="00C13648">
        <w:rPr>
          <w:lang w:val="en-GB" w:eastAsia="ja-JP"/>
        </w:rPr>
        <w:t xml:space="preserve">. It is possible that a victim UE may not be an SBFD capable UE and so may not apply appropriate filtering </w:t>
      </w:r>
      <w:proofErr w:type="gramStart"/>
      <w:r w:rsidR="00C13648">
        <w:rPr>
          <w:lang w:val="en-GB" w:eastAsia="ja-JP"/>
        </w:rPr>
        <w:t>in order to</w:t>
      </w:r>
      <w:proofErr w:type="gramEnd"/>
      <w:r w:rsidR="00C13648">
        <w:rPr>
          <w:lang w:val="en-GB" w:eastAsia="ja-JP"/>
        </w:rPr>
        <w:t xml:space="preserve"> meet ACS.</w:t>
      </w:r>
    </w:p>
    <w:p w14:paraId="3B4CEDCC" w14:textId="3A0171A3" w:rsidR="00A05EB7" w:rsidRDefault="00A05EB7" w:rsidP="00A07B09">
      <w:pPr>
        <w:rPr>
          <w:lang w:val="en-GB" w:eastAsia="ja-JP"/>
        </w:rPr>
      </w:pPr>
      <w:r>
        <w:rPr>
          <w:lang w:val="en-GB" w:eastAsia="ja-JP"/>
        </w:rPr>
        <w:t>It may be assumed that ACS is achieved as a starting point, but further discussion is needed as to whether the in-channel selectivity can be assumed to be as large as the ACS.</w:t>
      </w:r>
    </w:p>
    <w:p w14:paraId="64714B49" w14:textId="2EA1B755" w:rsidR="00A05EB7" w:rsidRPr="0024387F" w:rsidRDefault="00A05EB7" w:rsidP="00A05EB7">
      <w:pPr>
        <w:pStyle w:val="Proposal"/>
        <w:rPr>
          <w:lang w:val="en-GB"/>
        </w:rPr>
      </w:pPr>
      <w:bookmarkStart w:id="5" w:name="_Toc115107285"/>
      <w:r>
        <w:rPr>
          <w:lang w:val="en-GB"/>
        </w:rPr>
        <w:t>RAN4 to discuss whether UE in-channel selectivity would be as large as the ACS</w:t>
      </w:r>
      <w:bookmarkEnd w:id="5"/>
    </w:p>
    <w:p w14:paraId="7CD93182" w14:textId="421A196D" w:rsidR="00A07B09" w:rsidRDefault="00A07B09" w:rsidP="00A07B09">
      <w:pPr>
        <w:pStyle w:val="Heading4"/>
      </w:pPr>
      <w:r>
        <w:t>2.</w:t>
      </w:r>
      <w:r w:rsidR="009320BB">
        <w:t>2</w:t>
      </w:r>
      <w:r>
        <w:t>.1.1      FR1</w:t>
      </w:r>
    </w:p>
    <w:p w14:paraId="64FA3377" w14:textId="09127BA4" w:rsidR="00A07B09" w:rsidRDefault="00645E2D" w:rsidP="006970CF">
      <w:pPr>
        <w:pStyle w:val="B8"/>
        <w:ind w:left="0" w:firstLine="0"/>
        <w:rPr>
          <w:lang w:val="en-GB"/>
        </w:rPr>
      </w:pPr>
      <w:r>
        <w:rPr>
          <w:lang w:val="en-GB"/>
        </w:rPr>
        <w:t xml:space="preserve">The maximum input level is -25dBm and the ACS </w:t>
      </w:r>
      <w:r w:rsidR="00E60B05">
        <w:rPr>
          <w:lang w:val="en-GB"/>
        </w:rPr>
        <w:t xml:space="preserve">33dB for </w:t>
      </w:r>
      <w:r w:rsidR="00E5706E">
        <w:rPr>
          <w:lang w:val="en-GB"/>
        </w:rPr>
        <w:t xml:space="preserve">TDD bands above 3300 </w:t>
      </w:r>
      <w:proofErr w:type="spellStart"/>
      <w:r w:rsidR="00E5706E">
        <w:rPr>
          <w:lang w:val="en-GB"/>
        </w:rPr>
        <w:t>MHz.</w:t>
      </w:r>
      <w:proofErr w:type="spellEnd"/>
    </w:p>
    <w:p w14:paraId="251DE5CC" w14:textId="1419EB15" w:rsidR="00E5706E" w:rsidRDefault="00E5706E" w:rsidP="00E5706E">
      <w:pPr>
        <w:pStyle w:val="Proposal"/>
        <w:rPr>
          <w:lang w:val="en-GB"/>
        </w:rPr>
      </w:pPr>
      <w:bookmarkStart w:id="6" w:name="_Toc115107286"/>
      <w:r>
        <w:rPr>
          <w:lang w:val="en-GB"/>
        </w:rPr>
        <w:t>For FR1 in-channel selectivity, assume maximum input level -25dBm and ICS [</w:t>
      </w:r>
      <w:proofErr w:type="gramStart"/>
      <w:r>
        <w:rPr>
          <w:lang w:val="en-GB"/>
        </w:rPr>
        <w:t>33]dB</w:t>
      </w:r>
      <w:proofErr w:type="gramEnd"/>
      <w:r>
        <w:rPr>
          <w:lang w:val="en-GB"/>
        </w:rPr>
        <w:t>, subject to discussion on ICS in proposal 5.</w:t>
      </w:r>
      <w:bookmarkEnd w:id="6"/>
    </w:p>
    <w:p w14:paraId="415C51E1" w14:textId="0DBE08FF" w:rsidR="00E5706E" w:rsidRDefault="00E5706E" w:rsidP="00E5706E">
      <w:pPr>
        <w:pStyle w:val="Proposal"/>
        <w:numPr>
          <w:ilvl w:val="0"/>
          <w:numId w:val="0"/>
        </w:numPr>
        <w:ind w:left="1701" w:hanging="1701"/>
        <w:rPr>
          <w:lang w:val="en-GB"/>
        </w:rPr>
      </w:pPr>
    </w:p>
    <w:p w14:paraId="4E6BD376" w14:textId="79021F9F" w:rsidR="00E5706E" w:rsidRDefault="00E5706E" w:rsidP="00E5706E">
      <w:pPr>
        <w:pStyle w:val="Heading4"/>
      </w:pPr>
      <w:r>
        <w:t>2.2.1.2      FR2</w:t>
      </w:r>
    </w:p>
    <w:p w14:paraId="35D27B40" w14:textId="7322BB7F" w:rsidR="003331DF" w:rsidRDefault="003331DF" w:rsidP="00E5706E">
      <w:pPr>
        <w:rPr>
          <w:lang w:val="en-GB" w:eastAsia="ja-JP"/>
        </w:rPr>
      </w:pPr>
      <w:r>
        <w:rPr>
          <w:lang w:val="en-GB" w:eastAsia="ja-JP"/>
        </w:rPr>
        <w:t>The maximum input level is -25dBm and the ACS 23dB for bands around 28GHz.</w:t>
      </w:r>
    </w:p>
    <w:p w14:paraId="167FF206" w14:textId="0B94D6D3" w:rsidR="003331DF" w:rsidRDefault="003331DF" w:rsidP="003331DF">
      <w:pPr>
        <w:pStyle w:val="Proposal"/>
        <w:rPr>
          <w:lang w:val="en-GB"/>
        </w:rPr>
      </w:pPr>
      <w:bookmarkStart w:id="7" w:name="_Toc115107287"/>
      <w:r>
        <w:rPr>
          <w:lang w:val="en-GB"/>
        </w:rPr>
        <w:t>For FR2 in-channel selectivity, assume maximum input level -25dBm and ICS [</w:t>
      </w:r>
      <w:proofErr w:type="gramStart"/>
      <w:r>
        <w:rPr>
          <w:lang w:val="en-GB"/>
        </w:rPr>
        <w:t>23]dB</w:t>
      </w:r>
      <w:proofErr w:type="gramEnd"/>
      <w:r>
        <w:rPr>
          <w:lang w:val="en-GB"/>
        </w:rPr>
        <w:t>, subject to discussion on ICS in proposal 5.</w:t>
      </w:r>
      <w:bookmarkEnd w:id="7"/>
    </w:p>
    <w:p w14:paraId="68020749" w14:textId="30DE62EC" w:rsidR="003331DF" w:rsidRDefault="003331DF" w:rsidP="003331DF">
      <w:pPr>
        <w:pStyle w:val="Proposal"/>
        <w:numPr>
          <w:ilvl w:val="0"/>
          <w:numId w:val="0"/>
        </w:numPr>
        <w:ind w:left="1701" w:hanging="1701"/>
        <w:rPr>
          <w:lang w:val="en-GB"/>
        </w:rPr>
      </w:pPr>
    </w:p>
    <w:p w14:paraId="7CFD7B18" w14:textId="12E4A18B" w:rsidR="003331DF" w:rsidRDefault="003331DF" w:rsidP="003331DF">
      <w:pPr>
        <w:pStyle w:val="Heading3"/>
      </w:pPr>
      <w:r>
        <w:t>2.2.2</w:t>
      </w:r>
      <w:r>
        <w:tab/>
        <w:t>Adjacent channel</w:t>
      </w:r>
    </w:p>
    <w:p w14:paraId="2FE94BB6" w14:textId="151B40CF" w:rsidR="003331DF" w:rsidRDefault="003331DF" w:rsidP="003331DF">
      <w:pPr>
        <w:pStyle w:val="Heading4"/>
      </w:pPr>
      <w:r>
        <w:t>2.2.</w:t>
      </w:r>
      <w:r w:rsidR="002F373B">
        <w:t>2</w:t>
      </w:r>
      <w:r>
        <w:t>.1      FR1</w:t>
      </w:r>
    </w:p>
    <w:p w14:paraId="5E85C4AF" w14:textId="7C2C8B5C" w:rsidR="003331DF" w:rsidRDefault="002F373B" w:rsidP="00145642">
      <w:pPr>
        <w:pStyle w:val="B8"/>
        <w:ind w:left="0" w:firstLine="0"/>
        <w:jc w:val="left"/>
        <w:rPr>
          <w:lang w:val="en-GB"/>
        </w:rPr>
      </w:pPr>
      <w:r>
        <w:rPr>
          <w:lang w:val="en-GB"/>
        </w:rPr>
        <w:t>For FR1, the ACS of 33dB for TDD bands above 3300MHz should be assumed, as this this assumption can be supported from the specifications.</w:t>
      </w:r>
    </w:p>
    <w:p w14:paraId="53EB3E82" w14:textId="0FA6BB60" w:rsidR="002F373B" w:rsidRDefault="002F373B" w:rsidP="002F373B">
      <w:pPr>
        <w:pStyle w:val="Proposal"/>
        <w:rPr>
          <w:lang w:val="en-GB"/>
        </w:rPr>
      </w:pPr>
      <w:bookmarkStart w:id="8" w:name="_Toc115107288"/>
      <w:r>
        <w:rPr>
          <w:lang w:val="en-GB"/>
        </w:rPr>
        <w:t>For FR1 ACS assume 33dB</w:t>
      </w:r>
      <w:bookmarkEnd w:id="8"/>
    </w:p>
    <w:p w14:paraId="32D17D83" w14:textId="61C54D00" w:rsidR="002F373B" w:rsidRDefault="002F373B" w:rsidP="002F373B">
      <w:pPr>
        <w:pStyle w:val="Proposal"/>
        <w:numPr>
          <w:ilvl w:val="0"/>
          <w:numId w:val="0"/>
        </w:numPr>
        <w:rPr>
          <w:b w:val="0"/>
          <w:bCs w:val="0"/>
          <w:lang w:val="en-GB"/>
        </w:rPr>
      </w:pPr>
    </w:p>
    <w:p w14:paraId="6927EF03" w14:textId="66114269" w:rsidR="002F373B" w:rsidRDefault="002F373B" w:rsidP="002F373B">
      <w:pPr>
        <w:pStyle w:val="Heading4"/>
      </w:pPr>
      <w:r>
        <w:t>2.2.2.2      FR2</w:t>
      </w:r>
    </w:p>
    <w:p w14:paraId="3D47E7DC" w14:textId="6B984032" w:rsidR="00136EC5" w:rsidRDefault="00136EC5" w:rsidP="00145642">
      <w:pPr>
        <w:pStyle w:val="B8"/>
        <w:ind w:left="0" w:firstLine="0"/>
        <w:jc w:val="left"/>
        <w:rPr>
          <w:lang w:val="en-GB"/>
        </w:rPr>
      </w:pPr>
      <w:r>
        <w:rPr>
          <w:lang w:val="en-GB"/>
        </w:rPr>
        <w:t xml:space="preserve">For FR2, the ACS of </w:t>
      </w:r>
      <w:r w:rsidR="008B2FFE">
        <w:rPr>
          <w:lang w:val="en-GB"/>
        </w:rPr>
        <w:t>23</w:t>
      </w:r>
      <w:r>
        <w:rPr>
          <w:lang w:val="en-GB"/>
        </w:rPr>
        <w:t>dB for bands 24-30GHz should be assumed, as this this assumption can be supported from the specifications.</w:t>
      </w:r>
    </w:p>
    <w:p w14:paraId="13CBC445" w14:textId="1C6A20BA" w:rsidR="00136EC5" w:rsidRDefault="00136EC5" w:rsidP="00136EC5">
      <w:pPr>
        <w:pStyle w:val="Proposal"/>
        <w:rPr>
          <w:lang w:val="en-GB"/>
        </w:rPr>
      </w:pPr>
      <w:bookmarkStart w:id="9" w:name="_Toc115107289"/>
      <w:r>
        <w:rPr>
          <w:lang w:val="en-GB"/>
        </w:rPr>
        <w:t xml:space="preserve">For FR2 ACS assume </w:t>
      </w:r>
      <w:r w:rsidR="008B2FFE">
        <w:rPr>
          <w:lang w:val="en-GB"/>
        </w:rPr>
        <w:t>2</w:t>
      </w:r>
      <w:r>
        <w:rPr>
          <w:lang w:val="en-GB"/>
        </w:rPr>
        <w:t>3dB</w:t>
      </w:r>
      <w:bookmarkEnd w:id="9"/>
    </w:p>
    <w:p w14:paraId="3879E8F8" w14:textId="77777777" w:rsidR="00C473A5" w:rsidRDefault="00C473A5" w:rsidP="00CE0424">
      <w:pPr>
        <w:pStyle w:val="Heading1"/>
        <w:sectPr w:rsidR="00C473A5" w:rsidSect="00136EC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8EC9302" w14:textId="6A107DCA" w:rsidR="008B2FFE"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107281" w:history="1">
        <w:r w:rsidR="008B2FFE" w:rsidRPr="00183F39">
          <w:rPr>
            <w:rStyle w:val="Hyperlink"/>
            <w:noProof/>
            <w:lang w:val="en-GB"/>
          </w:rPr>
          <w:t>Proposal 1</w:t>
        </w:r>
        <w:r w:rsidR="008B2FFE">
          <w:rPr>
            <w:rFonts w:asciiTheme="minorHAnsi" w:eastAsiaTheme="minorEastAsia" w:hAnsiTheme="minorHAnsi"/>
            <w:b w:val="0"/>
            <w:noProof/>
            <w:sz w:val="22"/>
            <w:lang w:val="en-SE" w:eastAsia="en-SE"/>
          </w:rPr>
          <w:tab/>
        </w:r>
        <w:r w:rsidR="008B2FFE" w:rsidRPr="00183F39">
          <w:rPr>
            <w:rStyle w:val="Hyperlink"/>
            <w:noProof/>
            <w:lang w:val="en-GB"/>
          </w:rPr>
          <w:t>For FR1 UE DL emissions, consider two assumptions for the ratio of UE TX power to the total emissions in both DL sub bands of (i) 17dB and (ii) 31dB.</w:t>
        </w:r>
      </w:hyperlink>
    </w:p>
    <w:p w14:paraId="46D06674" w14:textId="18273247"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2" w:history="1">
        <w:r w:rsidR="008B2FFE" w:rsidRPr="00183F39">
          <w:rPr>
            <w:rStyle w:val="Hyperlink"/>
            <w:noProof/>
            <w:lang w:val="en-GB"/>
          </w:rPr>
          <w:t>Proposal 2</w:t>
        </w:r>
        <w:r w:rsidR="008B2FFE">
          <w:rPr>
            <w:rFonts w:asciiTheme="minorHAnsi" w:eastAsiaTheme="minorEastAsia" w:hAnsiTheme="minorHAnsi"/>
            <w:b w:val="0"/>
            <w:noProof/>
            <w:sz w:val="22"/>
            <w:lang w:val="en-SE" w:eastAsia="en-SE"/>
          </w:rPr>
          <w:tab/>
        </w:r>
        <w:r w:rsidR="008B2FFE" w:rsidRPr="00183F39">
          <w:rPr>
            <w:rStyle w:val="Hyperlink"/>
            <w:noProof/>
            <w:lang w:val="en-GB"/>
          </w:rPr>
          <w:t>For FR2 UE DL emissions, assume the ratio of UE TX power to the total emissions in both DL sub bands to be 17dB.</w:t>
        </w:r>
      </w:hyperlink>
    </w:p>
    <w:p w14:paraId="43F748DB" w14:textId="1DE1491A"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3" w:history="1">
        <w:r w:rsidR="008B2FFE" w:rsidRPr="00183F39">
          <w:rPr>
            <w:rStyle w:val="Hyperlink"/>
            <w:noProof/>
            <w:lang w:val="en-GB"/>
          </w:rPr>
          <w:t>Proposal 3</w:t>
        </w:r>
        <w:r w:rsidR="008B2FFE">
          <w:rPr>
            <w:rFonts w:asciiTheme="minorHAnsi" w:eastAsiaTheme="minorEastAsia" w:hAnsiTheme="minorHAnsi"/>
            <w:b w:val="0"/>
            <w:noProof/>
            <w:sz w:val="22"/>
            <w:lang w:val="en-SE" w:eastAsia="en-SE"/>
          </w:rPr>
          <w:tab/>
        </w:r>
        <w:r w:rsidR="008B2FFE" w:rsidRPr="00183F39">
          <w:rPr>
            <w:rStyle w:val="Hyperlink"/>
            <w:noProof/>
            <w:lang w:val="en-GB"/>
          </w:rPr>
          <w:t>For FR1, assume 31dB ACLR for adjacent channel interference.</w:t>
        </w:r>
      </w:hyperlink>
    </w:p>
    <w:p w14:paraId="00B2D5CD" w14:textId="2B0C84AD"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4" w:history="1">
        <w:r w:rsidR="008B2FFE" w:rsidRPr="00183F39">
          <w:rPr>
            <w:rStyle w:val="Hyperlink"/>
            <w:noProof/>
            <w:lang w:val="en-GB"/>
          </w:rPr>
          <w:t>Proposal 4</w:t>
        </w:r>
        <w:r w:rsidR="008B2FFE">
          <w:rPr>
            <w:rFonts w:asciiTheme="minorHAnsi" w:eastAsiaTheme="minorEastAsia" w:hAnsiTheme="minorHAnsi"/>
            <w:b w:val="0"/>
            <w:noProof/>
            <w:sz w:val="22"/>
            <w:lang w:val="en-SE" w:eastAsia="en-SE"/>
          </w:rPr>
          <w:tab/>
        </w:r>
        <w:r w:rsidR="008B2FFE" w:rsidRPr="00183F39">
          <w:rPr>
            <w:rStyle w:val="Hyperlink"/>
            <w:noProof/>
            <w:lang w:val="en-GB"/>
          </w:rPr>
          <w:t>For FR2, assume 17dB ACLR for adjacent channel interference.</w:t>
        </w:r>
      </w:hyperlink>
    </w:p>
    <w:p w14:paraId="67C0BD96" w14:textId="40058251"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5" w:history="1">
        <w:r w:rsidR="008B2FFE" w:rsidRPr="00183F39">
          <w:rPr>
            <w:rStyle w:val="Hyperlink"/>
            <w:noProof/>
            <w:lang w:val="en-GB"/>
          </w:rPr>
          <w:t>Proposal 5</w:t>
        </w:r>
        <w:r w:rsidR="008B2FFE">
          <w:rPr>
            <w:rFonts w:asciiTheme="minorHAnsi" w:eastAsiaTheme="minorEastAsia" w:hAnsiTheme="minorHAnsi"/>
            <w:b w:val="0"/>
            <w:noProof/>
            <w:sz w:val="22"/>
            <w:lang w:val="en-SE" w:eastAsia="en-SE"/>
          </w:rPr>
          <w:tab/>
        </w:r>
        <w:r w:rsidR="008B2FFE" w:rsidRPr="00183F39">
          <w:rPr>
            <w:rStyle w:val="Hyperlink"/>
            <w:noProof/>
            <w:lang w:val="en-GB"/>
          </w:rPr>
          <w:t>RAN4 to discuss whether UE in-channel selectivity would be as large as the ACS</w:t>
        </w:r>
      </w:hyperlink>
    </w:p>
    <w:p w14:paraId="68361276" w14:textId="7B878310"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6" w:history="1">
        <w:r w:rsidR="008B2FFE" w:rsidRPr="00183F39">
          <w:rPr>
            <w:rStyle w:val="Hyperlink"/>
            <w:noProof/>
            <w:lang w:val="en-GB"/>
          </w:rPr>
          <w:t>Proposal 6</w:t>
        </w:r>
        <w:r w:rsidR="008B2FFE">
          <w:rPr>
            <w:rFonts w:asciiTheme="minorHAnsi" w:eastAsiaTheme="minorEastAsia" w:hAnsiTheme="minorHAnsi"/>
            <w:b w:val="0"/>
            <w:noProof/>
            <w:sz w:val="22"/>
            <w:lang w:val="en-SE" w:eastAsia="en-SE"/>
          </w:rPr>
          <w:tab/>
        </w:r>
        <w:r w:rsidR="008B2FFE" w:rsidRPr="00183F39">
          <w:rPr>
            <w:rStyle w:val="Hyperlink"/>
            <w:noProof/>
            <w:lang w:val="en-GB"/>
          </w:rPr>
          <w:t>For FR1 in-channel selectivity, assume maximum input level -25dBm and ICS [33]dB, subject to discussion on ICS in proposal 5.</w:t>
        </w:r>
      </w:hyperlink>
    </w:p>
    <w:p w14:paraId="7D6F1E8B" w14:textId="7D42A714"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7" w:history="1">
        <w:r w:rsidR="008B2FFE" w:rsidRPr="00183F39">
          <w:rPr>
            <w:rStyle w:val="Hyperlink"/>
            <w:noProof/>
            <w:lang w:val="en-GB"/>
          </w:rPr>
          <w:t>Proposal 7</w:t>
        </w:r>
        <w:r w:rsidR="008B2FFE">
          <w:rPr>
            <w:rFonts w:asciiTheme="minorHAnsi" w:eastAsiaTheme="minorEastAsia" w:hAnsiTheme="minorHAnsi"/>
            <w:b w:val="0"/>
            <w:noProof/>
            <w:sz w:val="22"/>
            <w:lang w:val="en-SE" w:eastAsia="en-SE"/>
          </w:rPr>
          <w:tab/>
        </w:r>
        <w:r w:rsidR="008B2FFE" w:rsidRPr="00183F39">
          <w:rPr>
            <w:rStyle w:val="Hyperlink"/>
            <w:noProof/>
            <w:lang w:val="en-GB"/>
          </w:rPr>
          <w:t>For FR2 in-channel selectivity, assume maximum input level -25dBm and ICS [23]dB, subject to discussion on ICS in proposal 5.</w:t>
        </w:r>
      </w:hyperlink>
    </w:p>
    <w:p w14:paraId="2AF3A6FE" w14:textId="7690F8F6"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8" w:history="1">
        <w:r w:rsidR="008B2FFE" w:rsidRPr="00183F39">
          <w:rPr>
            <w:rStyle w:val="Hyperlink"/>
            <w:noProof/>
            <w:lang w:val="en-GB"/>
          </w:rPr>
          <w:t>Proposal 8</w:t>
        </w:r>
        <w:r w:rsidR="008B2FFE">
          <w:rPr>
            <w:rFonts w:asciiTheme="minorHAnsi" w:eastAsiaTheme="minorEastAsia" w:hAnsiTheme="minorHAnsi"/>
            <w:b w:val="0"/>
            <w:noProof/>
            <w:sz w:val="22"/>
            <w:lang w:val="en-SE" w:eastAsia="en-SE"/>
          </w:rPr>
          <w:tab/>
        </w:r>
        <w:r w:rsidR="008B2FFE" w:rsidRPr="00183F39">
          <w:rPr>
            <w:rStyle w:val="Hyperlink"/>
            <w:noProof/>
            <w:lang w:val="en-GB"/>
          </w:rPr>
          <w:t>For FR1 ACS assume 33dB</w:t>
        </w:r>
      </w:hyperlink>
    </w:p>
    <w:p w14:paraId="605A38B6" w14:textId="0A3ADC47" w:rsidR="008B2FFE" w:rsidRDefault="00503EAB">
      <w:pPr>
        <w:pStyle w:val="TableofFigures"/>
        <w:tabs>
          <w:tab w:val="right" w:leader="dot" w:pos="9629"/>
        </w:tabs>
        <w:rPr>
          <w:rFonts w:asciiTheme="minorHAnsi" w:eastAsiaTheme="minorEastAsia" w:hAnsiTheme="minorHAnsi"/>
          <w:b w:val="0"/>
          <w:noProof/>
          <w:sz w:val="22"/>
          <w:lang w:val="en-SE" w:eastAsia="en-SE"/>
        </w:rPr>
      </w:pPr>
      <w:hyperlink w:anchor="_Toc115107289" w:history="1">
        <w:r w:rsidR="008B2FFE" w:rsidRPr="00183F39">
          <w:rPr>
            <w:rStyle w:val="Hyperlink"/>
            <w:noProof/>
            <w:lang w:val="en-GB"/>
          </w:rPr>
          <w:t>Proposal 9</w:t>
        </w:r>
        <w:r w:rsidR="008B2FFE">
          <w:rPr>
            <w:rFonts w:asciiTheme="minorHAnsi" w:eastAsiaTheme="minorEastAsia" w:hAnsiTheme="minorHAnsi"/>
            <w:b w:val="0"/>
            <w:noProof/>
            <w:sz w:val="22"/>
            <w:lang w:val="en-SE" w:eastAsia="en-SE"/>
          </w:rPr>
          <w:tab/>
        </w:r>
        <w:r w:rsidR="008B2FFE" w:rsidRPr="00183F39">
          <w:rPr>
            <w:rStyle w:val="Hyperlink"/>
            <w:noProof/>
            <w:lang w:val="en-GB"/>
          </w:rPr>
          <w:t>For FR2 ACS assume 23dB</w:t>
        </w:r>
      </w:hyperlink>
    </w:p>
    <w:p w14:paraId="747C743C" w14:textId="003E812D"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sectPr w:rsidR="00C01F3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CC1D80"/>
    <w:multiLevelType w:val="hybridMultilevel"/>
    <w:tmpl w:val="FF20167C"/>
    <w:lvl w:ilvl="0" w:tplc="20000001">
      <w:start w:val="1"/>
      <w:numFmt w:val="bullet"/>
      <w:lvlText w:val=""/>
      <w:lvlJc w:val="left"/>
      <w:pPr>
        <w:ind w:left="2988" w:hanging="360"/>
      </w:pPr>
      <w:rPr>
        <w:rFonts w:ascii="Symbol" w:hAnsi="Symbol" w:hint="default"/>
      </w:rPr>
    </w:lvl>
    <w:lvl w:ilvl="1" w:tplc="20000003" w:tentative="1">
      <w:start w:val="1"/>
      <w:numFmt w:val="bullet"/>
      <w:lvlText w:val="o"/>
      <w:lvlJc w:val="left"/>
      <w:pPr>
        <w:ind w:left="3708" w:hanging="360"/>
      </w:pPr>
      <w:rPr>
        <w:rFonts w:ascii="Courier New" w:hAnsi="Courier New" w:cs="Courier New" w:hint="default"/>
      </w:rPr>
    </w:lvl>
    <w:lvl w:ilvl="2" w:tplc="20000005" w:tentative="1">
      <w:start w:val="1"/>
      <w:numFmt w:val="bullet"/>
      <w:lvlText w:val=""/>
      <w:lvlJc w:val="left"/>
      <w:pPr>
        <w:ind w:left="4428" w:hanging="360"/>
      </w:pPr>
      <w:rPr>
        <w:rFonts w:ascii="Wingdings" w:hAnsi="Wingdings" w:hint="default"/>
      </w:rPr>
    </w:lvl>
    <w:lvl w:ilvl="3" w:tplc="20000001" w:tentative="1">
      <w:start w:val="1"/>
      <w:numFmt w:val="bullet"/>
      <w:lvlText w:val=""/>
      <w:lvlJc w:val="left"/>
      <w:pPr>
        <w:ind w:left="5148" w:hanging="360"/>
      </w:pPr>
      <w:rPr>
        <w:rFonts w:ascii="Symbol" w:hAnsi="Symbol" w:hint="default"/>
      </w:rPr>
    </w:lvl>
    <w:lvl w:ilvl="4" w:tplc="20000003" w:tentative="1">
      <w:start w:val="1"/>
      <w:numFmt w:val="bullet"/>
      <w:lvlText w:val="o"/>
      <w:lvlJc w:val="left"/>
      <w:pPr>
        <w:ind w:left="5868" w:hanging="360"/>
      </w:pPr>
      <w:rPr>
        <w:rFonts w:ascii="Courier New" w:hAnsi="Courier New" w:cs="Courier New" w:hint="default"/>
      </w:rPr>
    </w:lvl>
    <w:lvl w:ilvl="5" w:tplc="20000005" w:tentative="1">
      <w:start w:val="1"/>
      <w:numFmt w:val="bullet"/>
      <w:lvlText w:val=""/>
      <w:lvlJc w:val="left"/>
      <w:pPr>
        <w:ind w:left="6588" w:hanging="360"/>
      </w:pPr>
      <w:rPr>
        <w:rFonts w:ascii="Wingdings" w:hAnsi="Wingdings" w:hint="default"/>
      </w:rPr>
    </w:lvl>
    <w:lvl w:ilvl="6" w:tplc="20000001" w:tentative="1">
      <w:start w:val="1"/>
      <w:numFmt w:val="bullet"/>
      <w:lvlText w:val=""/>
      <w:lvlJc w:val="left"/>
      <w:pPr>
        <w:ind w:left="7308" w:hanging="360"/>
      </w:pPr>
      <w:rPr>
        <w:rFonts w:ascii="Symbol" w:hAnsi="Symbol" w:hint="default"/>
      </w:rPr>
    </w:lvl>
    <w:lvl w:ilvl="7" w:tplc="20000003" w:tentative="1">
      <w:start w:val="1"/>
      <w:numFmt w:val="bullet"/>
      <w:lvlText w:val="o"/>
      <w:lvlJc w:val="left"/>
      <w:pPr>
        <w:ind w:left="8028" w:hanging="360"/>
      </w:pPr>
      <w:rPr>
        <w:rFonts w:ascii="Courier New" w:hAnsi="Courier New" w:cs="Courier New" w:hint="default"/>
      </w:rPr>
    </w:lvl>
    <w:lvl w:ilvl="8" w:tplc="20000005" w:tentative="1">
      <w:start w:val="1"/>
      <w:numFmt w:val="bullet"/>
      <w:lvlText w:val=""/>
      <w:lvlJc w:val="left"/>
      <w:pPr>
        <w:ind w:left="8748"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102AD1"/>
    <w:multiLevelType w:val="hybridMultilevel"/>
    <w:tmpl w:val="B9C2E3E8"/>
    <w:lvl w:ilvl="0" w:tplc="20000001">
      <w:start w:val="1"/>
      <w:numFmt w:val="bullet"/>
      <w:lvlText w:val=""/>
      <w:lvlJc w:val="left"/>
      <w:pPr>
        <w:ind w:left="2988" w:hanging="360"/>
      </w:pPr>
      <w:rPr>
        <w:rFonts w:ascii="Symbol" w:hAnsi="Symbol" w:hint="default"/>
      </w:rPr>
    </w:lvl>
    <w:lvl w:ilvl="1" w:tplc="20000003" w:tentative="1">
      <w:start w:val="1"/>
      <w:numFmt w:val="bullet"/>
      <w:lvlText w:val="o"/>
      <w:lvlJc w:val="left"/>
      <w:pPr>
        <w:ind w:left="3708" w:hanging="360"/>
      </w:pPr>
      <w:rPr>
        <w:rFonts w:ascii="Courier New" w:hAnsi="Courier New" w:cs="Courier New" w:hint="default"/>
      </w:rPr>
    </w:lvl>
    <w:lvl w:ilvl="2" w:tplc="20000005" w:tentative="1">
      <w:start w:val="1"/>
      <w:numFmt w:val="bullet"/>
      <w:lvlText w:val=""/>
      <w:lvlJc w:val="left"/>
      <w:pPr>
        <w:ind w:left="4428" w:hanging="360"/>
      </w:pPr>
      <w:rPr>
        <w:rFonts w:ascii="Wingdings" w:hAnsi="Wingdings" w:hint="default"/>
      </w:rPr>
    </w:lvl>
    <w:lvl w:ilvl="3" w:tplc="20000001" w:tentative="1">
      <w:start w:val="1"/>
      <w:numFmt w:val="bullet"/>
      <w:lvlText w:val=""/>
      <w:lvlJc w:val="left"/>
      <w:pPr>
        <w:ind w:left="5148" w:hanging="360"/>
      </w:pPr>
      <w:rPr>
        <w:rFonts w:ascii="Symbol" w:hAnsi="Symbol" w:hint="default"/>
      </w:rPr>
    </w:lvl>
    <w:lvl w:ilvl="4" w:tplc="20000003" w:tentative="1">
      <w:start w:val="1"/>
      <w:numFmt w:val="bullet"/>
      <w:lvlText w:val="o"/>
      <w:lvlJc w:val="left"/>
      <w:pPr>
        <w:ind w:left="5868" w:hanging="360"/>
      </w:pPr>
      <w:rPr>
        <w:rFonts w:ascii="Courier New" w:hAnsi="Courier New" w:cs="Courier New" w:hint="default"/>
      </w:rPr>
    </w:lvl>
    <w:lvl w:ilvl="5" w:tplc="20000005" w:tentative="1">
      <w:start w:val="1"/>
      <w:numFmt w:val="bullet"/>
      <w:lvlText w:val=""/>
      <w:lvlJc w:val="left"/>
      <w:pPr>
        <w:ind w:left="6588" w:hanging="360"/>
      </w:pPr>
      <w:rPr>
        <w:rFonts w:ascii="Wingdings" w:hAnsi="Wingdings" w:hint="default"/>
      </w:rPr>
    </w:lvl>
    <w:lvl w:ilvl="6" w:tplc="20000001" w:tentative="1">
      <w:start w:val="1"/>
      <w:numFmt w:val="bullet"/>
      <w:lvlText w:val=""/>
      <w:lvlJc w:val="left"/>
      <w:pPr>
        <w:ind w:left="7308" w:hanging="360"/>
      </w:pPr>
      <w:rPr>
        <w:rFonts w:ascii="Symbol" w:hAnsi="Symbol" w:hint="default"/>
      </w:rPr>
    </w:lvl>
    <w:lvl w:ilvl="7" w:tplc="20000003" w:tentative="1">
      <w:start w:val="1"/>
      <w:numFmt w:val="bullet"/>
      <w:lvlText w:val="o"/>
      <w:lvlJc w:val="left"/>
      <w:pPr>
        <w:ind w:left="8028" w:hanging="360"/>
      </w:pPr>
      <w:rPr>
        <w:rFonts w:ascii="Courier New" w:hAnsi="Courier New" w:cs="Courier New" w:hint="default"/>
      </w:rPr>
    </w:lvl>
    <w:lvl w:ilvl="8" w:tplc="20000005" w:tentative="1">
      <w:start w:val="1"/>
      <w:numFmt w:val="bullet"/>
      <w:lvlText w:val=""/>
      <w:lvlJc w:val="left"/>
      <w:pPr>
        <w:ind w:left="8748"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E338D"/>
    <w:multiLevelType w:val="hybridMultilevel"/>
    <w:tmpl w:val="C0D43B0C"/>
    <w:lvl w:ilvl="0" w:tplc="20000001">
      <w:start w:val="1"/>
      <w:numFmt w:val="bullet"/>
      <w:lvlText w:val=""/>
      <w:lvlJc w:val="left"/>
      <w:pPr>
        <w:ind w:left="2988" w:hanging="360"/>
      </w:pPr>
      <w:rPr>
        <w:rFonts w:ascii="Symbol" w:hAnsi="Symbol" w:hint="default"/>
      </w:rPr>
    </w:lvl>
    <w:lvl w:ilvl="1" w:tplc="20000003" w:tentative="1">
      <w:start w:val="1"/>
      <w:numFmt w:val="bullet"/>
      <w:lvlText w:val="o"/>
      <w:lvlJc w:val="left"/>
      <w:pPr>
        <w:ind w:left="3708" w:hanging="360"/>
      </w:pPr>
      <w:rPr>
        <w:rFonts w:ascii="Courier New" w:hAnsi="Courier New" w:cs="Courier New" w:hint="default"/>
      </w:rPr>
    </w:lvl>
    <w:lvl w:ilvl="2" w:tplc="20000005" w:tentative="1">
      <w:start w:val="1"/>
      <w:numFmt w:val="bullet"/>
      <w:lvlText w:val=""/>
      <w:lvlJc w:val="left"/>
      <w:pPr>
        <w:ind w:left="4428" w:hanging="360"/>
      </w:pPr>
      <w:rPr>
        <w:rFonts w:ascii="Wingdings" w:hAnsi="Wingdings" w:hint="default"/>
      </w:rPr>
    </w:lvl>
    <w:lvl w:ilvl="3" w:tplc="20000001" w:tentative="1">
      <w:start w:val="1"/>
      <w:numFmt w:val="bullet"/>
      <w:lvlText w:val=""/>
      <w:lvlJc w:val="left"/>
      <w:pPr>
        <w:ind w:left="5148" w:hanging="360"/>
      </w:pPr>
      <w:rPr>
        <w:rFonts w:ascii="Symbol" w:hAnsi="Symbol" w:hint="default"/>
      </w:rPr>
    </w:lvl>
    <w:lvl w:ilvl="4" w:tplc="20000003" w:tentative="1">
      <w:start w:val="1"/>
      <w:numFmt w:val="bullet"/>
      <w:lvlText w:val="o"/>
      <w:lvlJc w:val="left"/>
      <w:pPr>
        <w:ind w:left="5868" w:hanging="360"/>
      </w:pPr>
      <w:rPr>
        <w:rFonts w:ascii="Courier New" w:hAnsi="Courier New" w:cs="Courier New" w:hint="default"/>
      </w:rPr>
    </w:lvl>
    <w:lvl w:ilvl="5" w:tplc="20000005" w:tentative="1">
      <w:start w:val="1"/>
      <w:numFmt w:val="bullet"/>
      <w:lvlText w:val=""/>
      <w:lvlJc w:val="left"/>
      <w:pPr>
        <w:ind w:left="6588" w:hanging="360"/>
      </w:pPr>
      <w:rPr>
        <w:rFonts w:ascii="Wingdings" w:hAnsi="Wingdings" w:hint="default"/>
      </w:rPr>
    </w:lvl>
    <w:lvl w:ilvl="6" w:tplc="20000001" w:tentative="1">
      <w:start w:val="1"/>
      <w:numFmt w:val="bullet"/>
      <w:lvlText w:val=""/>
      <w:lvlJc w:val="left"/>
      <w:pPr>
        <w:ind w:left="7308" w:hanging="360"/>
      </w:pPr>
      <w:rPr>
        <w:rFonts w:ascii="Symbol" w:hAnsi="Symbol" w:hint="default"/>
      </w:rPr>
    </w:lvl>
    <w:lvl w:ilvl="7" w:tplc="20000003" w:tentative="1">
      <w:start w:val="1"/>
      <w:numFmt w:val="bullet"/>
      <w:lvlText w:val="o"/>
      <w:lvlJc w:val="left"/>
      <w:pPr>
        <w:ind w:left="8028" w:hanging="360"/>
      </w:pPr>
      <w:rPr>
        <w:rFonts w:ascii="Courier New" w:hAnsi="Courier New" w:cs="Courier New" w:hint="default"/>
      </w:rPr>
    </w:lvl>
    <w:lvl w:ilvl="8" w:tplc="20000005" w:tentative="1">
      <w:start w:val="1"/>
      <w:numFmt w:val="bullet"/>
      <w:lvlText w:val=""/>
      <w:lvlJc w:val="left"/>
      <w:pPr>
        <w:ind w:left="8748" w:hanging="360"/>
      </w:pPr>
      <w:rPr>
        <w:rFonts w:ascii="Wingdings" w:hAnsi="Wingdings" w:hint="default"/>
      </w:rPr>
    </w:lvl>
  </w:abstractNum>
  <w:abstractNum w:abstractNumId="19" w15:restartNumberingAfterBreak="0">
    <w:nsid w:val="4CB15A32"/>
    <w:multiLevelType w:val="hybridMultilevel"/>
    <w:tmpl w:val="04080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CE319BE"/>
    <w:multiLevelType w:val="hybridMultilevel"/>
    <w:tmpl w:val="7C2E95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27"/>
  </w:num>
  <w:num w:numId="24">
    <w:abstractNumId w:val="19"/>
  </w:num>
  <w:num w:numId="25">
    <w:abstractNumId w:val="24"/>
  </w:num>
  <w:num w:numId="26">
    <w:abstractNumId w:val="12"/>
  </w:num>
  <w:num w:numId="27">
    <w:abstractNumId w:val="18"/>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71E"/>
    <w:rsid w:val="00073D0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4F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1E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EC5"/>
    <w:rsid w:val="00137AB5"/>
    <w:rsid w:val="00137F0B"/>
    <w:rsid w:val="00141846"/>
    <w:rsid w:val="00145642"/>
    <w:rsid w:val="00151E23"/>
    <w:rsid w:val="001526E0"/>
    <w:rsid w:val="001551B5"/>
    <w:rsid w:val="001659C1"/>
    <w:rsid w:val="00173A8E"/>
    <w:rsid w:val="0017502C"/>
    <w:rsid w:val="0018143F"/>
    <w:rsid w:val="00181FF8"/>
    <w:rsid w:val="00185211"/>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1D66"/>
    <w:rsid w:val="001F3916"/>
    <w:rsid w:val="001F54C5"/>
    <w:rsid w:val="001F662C"/>
    <w:rsid w:val="001F7074"/>
    <w:rsid w:val="00200490"/>
    <w:rsid w:val="00201F3A"/>
    <w:rsid w:val="00203F96"/>
    <w:rsid w:val="0020698B"/>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387F"/>
    <w:rsid w:val="002458EB"/>
    <w:rsid w:val="002500C8"/>
    <w:rsid w:val="00257543"/>
    <w:rsid w:val="002617E7"/>
    <w:rsid w:val="00264228"/>
    <w:rsid w:val="00264334"/>
    <w:rsid w:val="0026473E"/>
    <w:rsid w:val="00266214"/>
    <w:rsid w:val="00267C83"/>
    <w:rsid w:val="0027144F"/>
    <w:rsid w:val="00271813"/>
    <w:rsid w:val="00271F3A"/>
    <w:rsid w:val="00273278"/>
    <w:rsid w:val="002735D5"/>
    <w:rsid w:val="002737F4"/>
    <w:rsid w:val="002805F5"/>
    <w:rsid w:val="00280751"/>
    <w:rsid w:val="00281444"/>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3B"/>
    <w:rsid w:val="002F37A9"/>
    <w:rsid w:val="0030080F"/>
    <w:rsid w:val="00301CE6"/>
    <w:rsid w:val="0030256B"/>
    <w:rsid w:val="0030501F"/>
    <w:rsid w:val="00307BA1"/>
    <w:rsid w:val="00311702"/>
    <w:rsid w:val="00311E82"/>
    <w:rsid w:val="00313FD6"/>
    <w:rsid w:val="003143BD"/>
    <w:rsid w:val="00315363"/>
    <w:rsid w:val="003203ED"/>
    <w:rsid w:val="00322C9F"/>
    <w:rsid w:val="00324D23"/>
    <w:rsid w:val="00331751"/>
    <w:rsid w:val="003331DF"/>
    <w:rsid w:val="00334579"/>
    <w:rsid w:val="00335858"/>
    <w:rsid w:val="00336BDA"/>
    <w:rsid w:val="00342BD7"/>
    <w:rsid w:val="00346DB5"/>
    <w:rsid w:val="003477B1"/>
    <w:rsid w:val="003502AE"/>
    <w:rsid w:val="00357380"/>
    <w:rsid w:val="003602D9"/>
    <w:rsid w:val="003604CE"/>
    <w:rsid w:val="00362B9A"/>
    <w:rsid w:val="00370E47"/>
    <w:rsid w:val="003718D5"/>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292"/>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155"/>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77FD3"/>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EAB"/>
    <w:rsid w:val="00506557"/>
    <w:rsid w:val="0050677A"/>
    <w:rsid w:val="00506BFF"/>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77B"/>
    <w:rsid w:val="005C74FB"/>
    <w:rsid w:val="005D1602"/>
    <w:rsid w:val="005E385F"/>
    <w:rsid w:val="005E570C"/>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453"/>
    <w:rsid w:val="0063284C"/>
    <w:rsid w:val="00636398"/>
    <w:rsid w:val="006368D3"/>
    <w:rsid w:val="006377EC"/>
    <w:rsid w:val="0064151F"/>
    <w:rsid w:val="00641533"/>
    <w:rsid w:val="0064208D"/>
    <w:rsid w:val="00643475"/>
    <w:rsid w:val="0064396A"/>
    <w:rsid w:val="00645E2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0CF"/>
    <w:rsid w:val="006A3A08"/>
    <w:rsid w:val="006A46FB"/>
    <w:rsid w:val="006A5E28"/>
    <w:rsid w:val="006A697B"/>
    <w:rsid w:val="006A7AFF"/>
    <w:rsid w:val="006A7F07"/>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972F0"/>
    <w:rsid w:val="007A1CB3"/>
    <w:rsid w:val="007A306F"/>
    <w:rsid w:val="007A43A6"/>
    <w:rsid w:val="007A44B6"/>
    <w:rsid w:val="007A58A6"/>
    <w:rsid w:val="007B23C8"/>
    <w:rsid w:val="007B2F54"/>
    <w:rsid w:val="007B3D2D"/>
    <w:rsid w:val="007B50AE"/>
    <w:rsid w:val="007B51DF"/>
    <w:rsid w:val="007C05DD"/>
    <w:rsid w:val="007C3D18"/>
    <w:rsid w:val="007C60BF"/>
    <w:rsid w:val="007C6A07"/>
    <w:rsid w:val="007C75A1"/>
    <w:rsid w:val="007C77A5"/>
    <w:rsid w:val="007D04E5"/>
    <w:rsid w:val="007D2333"/>
    <w:rsid w:val="007D525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D8D"/>
    <w:rsid w:val="008A51A8"/>
    <w:rsid w:val="008A54C7"/>
    <w:rsid w:val="008A77D8"/>
    <w:rsid w:val="008B0483"/>
    <w:rsid w:val="008B0BF2"/>
    <w:rsid w:val="008B120C"/>
    <w:rsid w:val="008B2FF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20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5EE"/>
    <w:rsid w:val="009740F8"/>
    <w:rsid w:val="0097603D"/>
    <w:rsid w:val="00976949"/>
    <w:rsid w:val="00980477"/>
    <w:rsid w:val="00985253"/>
    <w:rsid w:val="009853B3"/>
    <w:rsid w:val="00990630"/>
    <w:rsid w:val="00991761"/>
    <w:rsid w:val="00994662"/>
    <w:rsid w:val="00994DCA"/>
    <w:rsid w:val="009960EC"/>
    <w:rsid w:val="009970DD"/>
    <w:rsid w:val="009A0FBA"/>
    <w:rsid w:val="009A1601"/>
    <w:rsid w:val="009A3BB6"/>
    <w:rsid w:val="009A462D"/>
    <w:rsid w:val="009A5CBA"/>
    <w:rsid w:val="009B1F30"/>
    <w:rsid w:val="009B3AC2"/>
    <w:rsid w:val="009B4DF4"/>
    <w:rsid w:val="009B564E"/>
    <w:rsid w:val="009B654B"/>
    <w:rsid w:val="009B7E87"/>
    <w:rsid w:val="009C0169"/>
    <w:rsid w:val="009C403E"/>
    <w:rsid w:val="009D1EE9"/>
    <w:rsid w:val="009D3698"/>
    <w:rsid w:val="009D4FF0"/>
    <w:rsid w:val="009D703C"/>
    <w:rsid w:val="009D718F"/>
    <w:rsid w:val="009E068F"/>
    <w:rsid w:val="009E14E0"/>
    <w:rsid w:val="009E35DB"/>
    <w:rsid w:val="009E47A3"/>
    <w:rsid w:val="009F08F3"/>
    <w:rsid w:val="009F344F"/>
    <w:rsid w:val="00A0095A"/>
    <w:rsid w:val="00A031D8"/>
    <w:rsid w:val="00A048A8"/>
    <w:rsid w:val="00A04F49"/>
    <w:rsid w:val="00A05EB7"/>
    <w:rsid w:val="00A07B09"/>
    <w:rsid w:val="00A12E9D"/>
    <w:rsid w:val="00A13E54"/>
    <w:rsid w:val="00A17F63"/>
    <w:rsid w:val="00A2193B"/>
    <w:rsid w:val="00A2351A"/>
    <w:rsid w:val="00A264A9"/>
    <w:rsid w:val="00A26DCF"/>
    <w:rsid w:val="00A27785"/>
    <w:rsid w:val="00A30187"/>
    <w:rsid w:val="00A3448A"/>
    <w:rsid w:val="00A36297"/>
    <w:rsid w:val="00A364ED"/>
    <w:rsid w:val="00A41E2B"/>
    <w:rsid w:val="00A447CE"/>
    <w:rsid w:val="00A45B74"/>
    <w:rsid w:val="00A52E1D"/>
    <w:rsid w:val="00A61499"/>
    <w:rsid w:val="00A62A77"/>
    <w:rsid w:val="00A63483"/>
    <w:rsid w:val="00A657D7"/>
    <w:rsid w:val="00A660AC"/>
    <w:rsid w:val="00A67E6C"/>
    <w:rsid w:val="00A71B99"/>
    <w:rsid w:val="00A739D0"/>
    <w:rsid w:val="00A761D4"/>
    <w:rsid w:val="00A76535"/>
    <w:rsid w:val="00A77EC4"/>
    <w:rsid w:val="00A92879"/>
    <w:rsid w:val="00A9442A"/>
    <w:rsid w:val="00A97F49"/>
    <w:rsid w:val="00AA016F"/>
    <w:rsid w:val="00AA1ED6"/>
    <w:rsid w:val="00AA51D6"/>
    <w:rsid w:val="00AB0BC8"/>
    <w:rsid w:val="00AB11CA"/>
    <w:rsid w:val="00AB14D9"/>
    <w:rsid w:val="00AB4AB8"/>
    <w:rsid w:val="00AB655E"/>
    <w:rsid w:val="00AB6864"/>
    <w:rsid w:val="00AC007F"/>
    <w:rsid w:val="00AC0E45"/>
    <w:rsid w:val="00AC2ECD"/>
    <w:rsid w:val="00AC3119"/>
    <w:rsid w:val="00AC49FB"/>
    <w:rsid w:val="00AC5A10"/>
    <w:rsid w:val="00AC7FBE"/>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B6781"/>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648"/>
    <w:rsid w:val="00C14D4B"/>
    <w:rsid w:val="00C1549E"/>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FBD"/>
    <w:rsid w:val="00CB0497"/>
    <w:rsid w:val="00CB1F63"/>
    <w:rsid w:val="00CB348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C90"/>
    <w:rsid w:val="00D10249"/>
    <w:rsid w:val="00D115C3"/>
    <w:rsid w:val="00D11897"/>
    <w:rsid w:val="00D13135"/>
    <w:rsid w:val="00D13E4E"/>
    <w:rsid w:val="00D239A7"/>
    <w:rsid w:val="00D23F47"/>
    <w:rsid w:val="00D24BBA"/>
    <w:rsid w:val="00D36E71"/>
    <w:rsid w:val="00D37D87"/>
    <w:rsid w:val="00D40B33"/>
    <w:rsid w:val="00D4318F"/>
    <w:rsid w:val="00D438BF"/>
    <w:rsid w:val="00D440F8"/>
    <w:rsid w:val="00D4554E"/>
    <w:rsid w:val="00D546FF"/>
    <w:rsid w:val="00D55AD5"/>
    <w:rsid w:val="00D576CA"/>
    <w:rsid w:val="00D61AF5"/>
    <w:rsid w:val="00D652B5"/>
    <w:rsid w:val="00D66155"/>
    <w:rsid w:val="00D66C79"/>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35F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06E"/>
    <w:rsid w:val="00E57565"/>
    <w:rsid w:val="00E60B05"/>
    <w:rsid w:val="00E63838"/>
    <w:rsid w:val="00E64434"/>
    <w:rsid w:val="00E67C51"/>
    <w:rsid w:val="00E72EFC"/>
    <w:rsid w:val="00E758EC"/>
    <w:rsid w:val="00E8234C"/>
    <w:rsid w:val="00E83AA9"/>
    <w:rsid w:val="00E85928"/>
    <w:rsid w:val="00E87822"/>
    <w:rsid w:val="00E90395"/>
    <w:rsid w:val="00E90E49"/>
    <w:rsid w:val="00E917F9"/>
    <w:rsid w:val="00E9291C"/>
    <w:rsid w:val="00E92ABD"/>
    <w:rsid w:val="00E93FFE"/>
    <w:rsid w:val="00E94F8A"/>
    <w:rsid w:val="00EA7A41"/>
    <w:rsid w:val="00EB077B"/>
    <w:rsid w:val="00EB4EA2"/>
    <w:rsid w:val="00EB6E0A"/>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47C"/>
    <w:rsid w:val="00F96985"/>
    <w:rsid w:val="00F97838"/>
    <w:rsid w:val="00FA2BB3"/>
    <w:rsid w:val="00FA5EF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9D3698"/>
    <w:rPr>
      <w:rFonts w:ascii="Arial" w:eastAsiaTheme="minorHAnsi" w:hAnsi="Arial" w:cstheme="minorBidi"/>
      <w:sz w:val="18"/>
      <w:szCs w:val="22"/>
      <w:lang w:val="x-none" w:eastAsia="x-none"/>
    </w:rPr>
  </w:style>
  <w:style w:type="character" w:customStyle="1" w:styleId="TANChar">
    <w:name w:val="TAN Char"/>
    <w:link w:val="TAN"/>
    <w:qFormat/>
    <w:rsid w:val="009D3698"/>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36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d8762117-8292-4133-b1c7-eab5c6487cfd"/>
    <ds:schemaRef ds:uri="http://purl.org/dc/terms/"/>
    <ds:schemaRef ds:uri="http://purl.org/dc/elements/1.1/"/>
    <ds:schemaRef ds:uri="2f282d3b-eb4a-4b09-b61f-b9593442e286"/>
    <ds:schemaRef ds:uri="9b239327-9e80-40e4-b1b7-4394fed77a33"/>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6</Pages>
  <Words>2161</Words>
  <Characters>10900</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78</cp:revision>
  <cp:lastPrinted>2008-01-31T16:09:00Z</cp:lastPrinted>
  <dcterms:created xsi:type="dcterms:W3CDTF">2020-08-14T06:21:00Z</dcterms:created>
  <dcterms:modified xsi:type="dcterms:W3CDTF">2022-09-30T15:11:00Z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